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C791" w14:textId="4D41A197" w:rsidR="00AC102C" w:rsidRPr="00B91B7E" w:rsidRDefault="00AC102C" w:rsidP="00AC102C">
      <w:pPr>
        <w:tabs>
          <w:tab w:val="center" w:pos="4536"/>
          <w:tab w:val="right" w:pos="8280"/>
          <w:tab w:val="right" w:pos="9639"/>
        </w:tabs>
        <w:overflowPunct/>
        <w:autoSpaceDE/>
        <w:autoSpaceDN/>
        <w:adjustRightInd/>
        <w:spacing w:after="0"/>
        <w:ind w:right="2"/>
        <w:textAlignment w:val="auto"/>
        <w:rPr>
          <w:rFonts w:eastAsia="Batang"/>
          <w:b/>
          <w:bCs/>
          <w:sz w:val="28"/>
          <w:szCs w:val="24"/>
        </w:rPr>
      </w:pPr>
      <w:r w:rsidRPr="00B91B7E">
        <w:rPr>
          <w:rFonts w:eastAsia="Batang"/>
          <w:b/>
          <w:bCs/>
          <w:sz w:val="28"/>
          <w:szCs w:val="24"/>
        </w:rPr>
        <w:t>3GPP TSG RAN WG1 #</w:t>
      </w:r>
      <w:r w:rsidR="00E22FD1" w:rsidRPr="00B91B7E">
        <w:rPr>
          <w:rFonts w:eastAsia="Batang"/>
          <w:b/>
          <w:bCs/>
          <w:sz w:val="28"/>
          <w:szCs w:val="24"/>
        </w:rPr>
        <w:t>10</w:t>
      </w:r>
      <w:r w:rsidR="00AD5DBD">
        <w:rPr>
          <w:rFonts w:eastAsia="Batang"/>
          <w:b/>
          <w:bCs/>
          <w:sz w:val="28"/>
          <w:szCs w:val="24"/>
        </w:rPr>
        <w:t>7</w:t>
      </w:r>
      <w:r w:rsidRPr="00B91B7E">
        <w:rPr>
          <w:rFonts w:eastAsia="Batang"/>
          <w:b/>
          <w:bCs/>
          <w:sz w:val="28"/>
          <w:szCs w:val="24"/>
        </w:rPr>
        <w:t>-e</w:t>
      </w:r>
      <w:r w:rsidRPr="00B91B7E">
        <w:rPr>
          <w:rFonts w:eastAsia="Batang"/>
          <w:b/>
          <w:bCs/>
          <w:sz w:val="28"/>
          <w:szCs w:val="24"/>
        </w:rPr>
        <w:tab/>
      </w:r>
      <w:r w:rsidRPr="00B91B7E">
        <w:rPr>
          <w:rFonts w:eastAsia="Batang"/>
          <w:b/>
          <w:bCs/>
          <w:sz w:val="28"/>
          <w:szCs w:val="24"/>
        </w:rPr>
        <w:tab/>
      </w:r>
      <w:r w:rsidR="001B269C" w:rsidRPr="00B91B7E">
        <w:rPr>
          <w:rFonts w:eastAsia="Batang"/>
          <w:b/>
          <w:bCs/>
          <w:sz w:val="28"/>
          <w:szCs w:val="24"/>
        </w:rPr>
        <w:t xml:space="preserve">   </w:t>
      </w:r>
      <w:r w:rsidRPr="00B91B7E">
        <w:rPr>
          <w:rFonts w:eastAsia="Batang"/>
          <w:b/>
          <w:bCs/>
          <w:sz w:val="28"/>
          <w:szCs w:val="24"/>
        </w:rPr>
        <w:tab/>
        <w:t>R1-</w:t>
      </w:r>
      <w:r w:rsidR="008D6904" w:rsidRPr="008D6904">
        <w:rPr>
          <w:rFonts w:eastAsia="Batang"/>
          <w:b/>
          <w:bCs/>
          <w:sz w:val="28"/>
          <w:szCs w:val="24"/>
        </w:rPr>
        <w:t>21</w:t>
      </w:r>
      <w:r w:rsidR="00ED0C74">
        <w:rPr>
          <w:rFonts w:eastAsia="Batang"/>
          <w:b/>
          <w:bCs/>
          <w:sz w:val="28"/>
          <w:szCs w:val="24"/>
        </w:rPr>
        <w:t>10761</w:t>
      </w:r>
    </w:p>
    <w:p w14:paraId="249FC8BD" w14:textId="518A0B34" w:rsidR="00AC102C" w:rsidRPr="00B91B7E" w:rsidRDefault="00AC102C" w:rsidP="00AC102C">
      <w:pPr>
        <w:tabs>
          <w:tab w:val="center" w:pos="4536"/>
          <w:tab w:val="right" w:pos="9072"/>
        </w:tabs>
        <w:overflowPunct/>
        <w:autoSpaceDE/>
        <w:autoSpaceDN/>
        <w:adjustRightInd/>
        <w:spacing w:after="0"/>
        <w:textAlignment w:val="auto"/>
        <w:rPr>
          <w:rFonts w:eastAsia="MS Mincho"/>
          <w:b/>
          <w:bCs/>
          <w:sz w:val="28"/>
          <w:szCs w:val="24"/>
          <w:lang w:eastAsia="ja-JP"/>
        </w:rPr>
      </w:pPr>
      <w:r w:rsidRPr="00B91B7E">
        <w:rPr>
          <w:rFonts w:eastAsia="MS Mincho"/>
          <w:b/>
          <w:bCs/>
          <w:sz w:val="28"/>
          <w:szCs w:val="24"/>
          <w:lang w:eastAsia="ja-JP"/>
        </w:rPr>
        <w:t xml:space="preserve">e-Meeting, </w:t>
      </w:r>
      <w:r w:rsidR="0036644C">
        <w:rPr>
          <w:rFonts w:eastAsia="MS Mincho"/>
          <w:b/>
          <w:bCs/>
          <w:sz w:val="28"/>
          <w:szCs w:val="24"/>
          <w:lang w:eastAsia="ja-JP"/>
        </w:rPr>
        <w:t>November</w:t>
      </w:r>
      <w:r w:rsidR="00E22FD1">
        <w:rPr>
          <w:rFonts w:eastAsia="MS Mincho"/>
          <w:b/>
          <w:bCs/>
          <w:sz w:val="28"/>
          <w:szCs w:val="24"/>
          <w:lang w:eastAsia="ja-JP"/>
        </w:rPr>
        <w:t xml:space="preserve"> </w:t>
      </w:r>
      <w:r w:rsidR="00392ACD">
        <w:rPr>
          <w:rFonts w:eastAsia="MS Mincho"/>
          <w:b/>
          <w:bCs/>
          <w:sz w:val="28"/>
          <w:szCs w:val="24"/>
          <w:lang w:eastAsia="ja-JP"/>
        </w:rPr>
        <w:t>1</w:t>
      </w:r>
      <w:r w:rsidR="008D6904">
        <w:rPr>
          <w:rFonts w:eastAsia="MS Mincho"/>
          <w:b/>
          <w:bCs/>
          <w:sz w:val="28"/>
          <w:szCs w:val="24"/>
          <w:lang w:eastAsia="ja-JP"/>
        </w:rPr>
        <w:t>1</w:t>
      </w:r>
      <w:r w:rsidR="00392ACD" w:rsidRPr="00B91B7E">
        <w:rPr>
          <w:rFonts w:eastAsia="MS Mincho"/>
          <w:b/>
          <w:bCs/>
          <w:sz w:val="28"/>
          <w:szCs w:val="24"/>
          <w:vertAlign w:val="superscript"/>
          <w:lang w:eastAsia="ja-JP"/>
        </w:rPr>
        <w:t>th</w:t>
      </w:r>
      <w:r w:rsidR="00392ACD" w:rsidRPr="00B91B7E">
        <w:rPr>
          <w:rFonts w:eastAsia="MS Mincho"/>
          <w:b/>
          <w:bCs/>
          <w:sz w:val="28"/>
          <w:szCs w:val="24"/>
          <w:lang w:eastAsia="ja-JP"/>
        </w:rPr>
        <w:t xml:space="preserve"> </w:t>
      </w:r>
      <w:r w:rsidRPr="00B91B7E">
        <w:rPr>
          <w:rFonts w:eastAsia="MS Mincho"/>
          <w:b/>
          <w:bCs/>
          <w:sz w:val="28"/>
          <w:szCs w:val="24"/>
          <w:lang w:eastAsia="ja-JP"/>
        </w:rPr>
        <w:t xml:space="preserve">– </w:t>
      </w:r>
      <w:r w:rsidR="008D6904">
        <w:rPr>
          <w:rFonts w:eastAsia="MS Mincho"/>
          <w:b/>
          <w:bCs/>
          <w:sz w:val="28"/>
          <w:szCs w:val="24"/>
          <w:lang w:eastAsia="ja-JP"/>
        </w:rPr>
        <w:t>19</w:t>
      </w:r>
      <w:r w:rsidR="00392ACD" w:rsidRPr="00B91B7E">
        <w:rPr>
          <w:rFonts w:eastAsia="MS Mincho"/>
          <w:b/>
          <w:bCs/>
          <w:sz w:val="28"/>
          <w:szCs w:val="24"/>
          <w:vertAlign w:val="superscript"/>
          <w:lang w:eastAsia="ja-JP"/>
        </w:rPr>
        <w:t>th</w:t>
      </w:r>
      <w:r w:rsidRPr="00B91B7E">
        <w:rPr>
          <w:rFonts w:eastAsia="MS Mincho"/>
          <w:b/>
          <w:bCs/>
          <w:sz w:val="28"/>
          <w:szCs w:val="24"/>
          <w:lang w:eastAsia="ja-JP"/>
        </w:rPr>
        <w:t>, 202</w:t>
      </w:r>
      <w:r w:rsidR="00525932" w:rsidRPr="00B91B7E">
        <w:rPr>
          <w:rFonts w:eastAsia="MS Mincho"/>
          <w:b/>
          <w:bCs/>
          <w:sz w:val="28"/>
          <w:szCs w:val="24"/>
          <w:lang w:eastAsia="ja-JP"/>
        </w:rPr>
        <w:t>1</w:t>
      </w:r>
    </w:p>
    <w:p w14:paraId="05965FD4" w14:textId="77777777" w:rsidR="00C4142E" w:rsidRPr="00B91B7E" w:rsidRDefault="00C4142E" w:rsidP="00E913CF">
      <w:pPr>
        <w:pStyle w:val="NoSpacing"/>
        <w:jc w:val="both"/>
        <w:rPr>
          <w:rFonts w:eastAsiaTheme="minorEastAsia"/>
          <w:b/>
          <w:sz w:val="24"/>
          <w:szCs w:val="24"/>
          <w:lang w:val="en-GB" w:eastAsia="zh-CN"/>
        </w:rPr>
      </w:pPr>
    </w:p>
    <w:p w14:paraId="2BD8256E" w14:textId="174B1799" w:rsidR="005E1775" w:rsidRPr="00B91B7E" w:rsidRDefault="005E1775" w:rsidP="00E913CF">
      <w:pPr>
        <w:pStyle w:val="NoSpacing"/>
        <w:jc w:val="both"/>
        <w:rPr>
          <w:rFonts w:eastAsiaTheme="minorEastAsia"/>
          <w:b/>
          <w:sz w:val="24"/>
          <w:szCs w:val="24"/>
          <w:lang w:eastAsia="zh-CN"/>
        </w:rPr>
      </w:pPr>
      <w:r w:rsidRPr="00B91B7E">
        <w:rPr>
          <w:b/>
          <w:sz w:val="24"/>
          <w:szCs w:val="24"/>
        </w:rPr>
        <w:t>Agenda Item:</w:t>
      </w:r>
      <w:r w:rsidRPr="00B91B7E">
        <w:rPr>
          <w:b/>
          <w:sz w:val="24"/>
          <w:szCs w:val="24"/>
        </w:rPr>
        <w:tab/>
      </w:r>
      <w:r w:rsidRPr="00B91B7E">
        <w:rPr>
          <w:b/>
          <w:sz w:val="24"/>
          <w:szCs w:val="24"/>
        </w:rPr>
        <w:tab/>
      </w:r>
      <w:r w:rsidR="00F93346" w:rsidRPr="00B91B7E">
        <w:rPr>
          <w:b/>
          <w:sz w:val="24"/>
          <w:szCs w:val="24"/>
        </w:rPr>
        <w:t>8</w:t>
      </w:r>
      <w:r w:rsidRPr="00B91B7E">
        <w:rPr>
          <w:rFonts w:eastAsia="SimSun"/>
          <w:b/>
          <w:sz w:val="24"/>
          <w:szCs w:val="24"/>
          <w:lang w:eastAsia="zh-CN"/>
        </w:rPr>
        <w:t>.</w:t>
      </w:r>
      <w:r w:rsidR="00F93346" w:rsidRPr="00B91B7E">
        <w:rPr>
          <w:rFonts w:eastAsia="SimSun"/>
          <w:b/>
          <w:sz w:val="24"/>
          <w:szCs w:val="24"/>
          <w:lang w:eastAsia="zh-CN"/>
        </w:rPr>
        <w:t>1</w:t>
      </w:r>
      <w:r w:rsidRPr="00B91B7E">
        <w:rPr>
          <w:rFonts w:eastAsia="SimSun"/>
          <w:b/>
          <w:sz w:val="24"/>
          <w:szCs w:val="24"/>
          <w:lang w:eastAsia="zh-CN"/>
        </w:rPr>
        <w:t>.</w:t>
      </w:r>
      <w:r w:rsidR="00F93346" w:rsidRPr="00B91B7E">
        <w:rPr>
          <w:rFonts w:eastAsia="SimSun"/>
          <w:b/>
          <w:sz w:val="24"/>
          <w:szCs w:val="24"/>
          <w:lang w:eastAsia="zh-CN"/>
        </w:rPr>
        <w:t>1</w:t>
      </w:r>
    </w:p>
    <w:p w14:paraId="74E70920" w14:textId="5004FC58" w:rsidR="00C4142E" w:rsidRPr="00B91B7E" w:rsidRDefault="00C4142E" w:rsidP="00E913CF">
      <w:pPr>
        <w:pStyle w:val="NoSpacing"/>
        <w:jc w:val="both"/>
        <w:rPr>
          <w:rFonts w:eastAsia="SimSun"/>
          <w:b/>
          <w:sz w:val="24"/>
          <w:szCs w:val="24"/>
        </w:rPr>
      </w:pPr>
      <w:r w:rsidRPr="00B91B7E">
        <w:rPr>
          <w:b/>
          <w:sz w:val="24"/>
          <w:szCs w:val="24"/>
        </w:rPr>
        <w:t>Source:</w:t>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proofErr w:type="spellStart"/>
      <w:r w:rsidRPr="00B91B7E">
        <w:rPr>
          <w:b/>
          <w:sz w:val="24"/>
          <w:szCs w:val="24"/>
        </w:rPr>
        <w:t>Inter</w:t>
      </w:r>
      <w:r w:rsidR="00A677A0" w:rsidRPr="00B91B7E">
        <w:rPr>
          <w:b/>
          <w:sz w:val="24"/>
          <w:szCs w:val="24"/>
        </w:rPr>
        <w:t>D</w:t>
      </w:r>
      <w:r w:rsidRPr="00B91B7E">
        <w:rPr>
          <w:b/>
          <w:sz w:val="24"/>
          <w:szCs w:val="24"/>
        </w:rPr>
        <w:t>igital</w:t>
      </w:r>
      <w:proofErr w:type="spellEnd"/>
      <w:r w:rsidR="004B58CA" w:rsidRPr="00B91B7E">
        <w:rPr>
          <w:b/>
          <w:sz w:val="24"/>
          <w:szCs w:val="24"/>
        </w:rPr>
        <w:t>,</w:t>
      </w:r>
      <w:r w:rsidR="005E1775" w:rsidRPr="00B91B7E">
        <w:rPr>
          <w:b/>
          <w:sz w:val="24"/>
          <w:szCs w:val="24"/>
        </w:rPr>
        <w:t xml:space="preserve"> Inc.</w:t>
      </w:r>
    </w:p>
    <w:p w14:paraId="5E560AE8" w14:textId="5B0D559F" w:rsidR="00C4142E" w:rsidRPr="00B91B7E" w:rsidRDefault="00C4142E" w:rsidP="00E913CF">
      <w:pPr>
        <w:pStyle w:val="NoSpacing"/>
        <w:jc w:val="both"/>
        <w:rPr>
          <w:rFonts w:eastAsiaTheme="minorEastAsia"/>
          <w:b/>
          <w:sz w:val="24"/>
          <w:szCs w:val="24"/>
        </w:rPr>
      </w:pPr>
      <w:r w:rsidRPr="00B91B7E">
        <w:rPr>
          <w:b/>
          <w:sz w:val="24"/>
          <w:szCs w:val="24"/>
        </w:rPr>
        <w:t>Title:</w:t>
      </w:r>
      <w:bookmarkStart w:id="0" w:name="Title"/>
      <w:bookmarkEnd w:id="0"/>
      <w:r w:rsidRPr="00B91B7E">
        <w:rPr>
          <w:b/>
          <w:sz w:val="24"/>
          <w:szCs w:val="24"/>
        </w:rPr>
        <w:tab/>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r w:rsidR="00AD5DBD" w:rsidRPr="00AD5DBD">
        <w:rPr>
          <w:rFonts w:eastAsiaTheme="minorEastAsia"/>
          <w:b/>
          <w:sz w:val="24"/>
          <w:szCs w:val="24"/>
          <w:lang w:eastAsia="zh-CN"/>
        </w:rPr>
        <w:t>Remaining Issues for Multi-Beam Operation</w:t>
      </w:r>
    </w:p>
    <w:p w14:paraId="35306FB9" w14:textId="60D8F6E7" w:rsidR="00C4142E" w:rsidRPr="00B91B7E" w:rsidRDefault="00C4142E" w:rsidP="00E913CF">
      <w:pPr>
        <w:pStyle w:val="NoSpacing"/>
        <w:jc w:val="both"/>
        <w:rPr>
          <w:rFonts w:eastAsia="SimSun"/>
          <w:b/>
          <w:sz w:val="24"/>
          <w:szCs w:val="24"/>
        </w:rPr>
      </w:pPr>
      <w:r w:rsidRPr="00B91B7E">
        <w:rPr>
          <w:b/>
          <w:sz w:val="24"/>
          <w:szCs w:val="24"/>
        </w:rPr>
        <w:t>Document for:</w:t>
      </w:r>
      <w:r w:rsidRPr="00B91B7E">
        <w:rPr>
          <w:b/>
          <w:sz w:val="24"/>
          <w:szCs w:val="24"/>
        </w:rPr>
        <w:tab/>
      </w:r>
      <w:bookmarkStart w:id="1" w:name="DocumentFor"/>
      <w:bookmarkEnd w:id="1"/>
      <w:r w:rsidRPr="00B91B7E">
        <w:rPr>
          <w:b/>
          <w:sz w:val="24"/>
          <w:szCs w:val="24"/>
        </w:rPr>
        <w:t>Discussio</w:t>
      </w:r>
      <w:r w:rsidRPr="00B91B7E">
        <w:rPr>
          <w:rFonts w:eastAsia="SimSun"/>
          <w:b/>
          <w:sz w:val="24"/>
          <w:szCs w:val="24"/>
        </w:rPr>
        <w:t>n and Decision</w:t>
      </w:r>
    </w:p>
    <w:p w14:paraId="0162CE0A" w14:textId="77777777" w:rsidR="00C4142E" w:rsidRPr="00B91B7E" w:rsidRDefault="00C4142E" w:rsidP="00E913CF">
      <w:pPr>
        <w:pStyle w:val="NoSpacing"/>
        <w:jc w:val="both"/>
      </w:pPr>
    </w:p>
    <w:p w14:paraId="1E3AE1A1" w14:textId="0618FE5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Introduction</w:t>
      </w:r>
    </w:p>
    <w:p w14:paraId="0833213F" w14:textId="54839B91" w:rsidR="008975FD" w:rsidRPr="00B91B7E" w:rsidRDefault="003C4423" w:rsidP="00790A31">
      <w:pPr>
        <w:pStyle w:val="BodyText"/>
        <w:spacing w:after="0"/>
        <w:ind w:firstLine="288"/>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 xml:space="preserve">In </w:t>
      </w:r>
      <w:r w:rsidR="00D5797A" w:rsidRPr="00B91B7E">
        <w:rPr>
          <w:rFonts w:ascii="Times New Roman" w:eastAsiaTheme="minorEastAsia" w:hAnsi="Times New Roman"/>
          <w:sz w:val="22"/>
          <w:szCs w:val="22"/>
          <w:lang w:eastAsia="zh-CN"/>
        </w:rPr>
        <w:t>RAN</w:t>
      </w:r>
      <w:r w:rsidR="004B58CA" w:rsidRPr="00B91B7E">
        <w:rPr>
          <w:rFonts w:ascii="Times New Roman" w:eastAsiaTheme="minorEastAsia" w:hAnsi="Times New Roman"/>
          <w:sz w:val="22"/>
          <w:szCs w:val="22"/>
          <w:lang w:eastAsia="zh-CN"/>
        </w:rPr>
        <w:t>1</w:t>
      </w:r>
      <w:r w:rsidR="00D5797A" w:rsidRPr="00B91B7E">
        <w:rPr>
          <w:rFonts w:ascii="Times New Roman" w:eastAsiaTheme="minorEastAsia" w:hAnsi="Times New Roman"/>
          <w:sz w:val="22"/>
          <w:szCs w:val="22"/>
          <w:lang w:eastAsia="zh-CN"/>
        </w:rPr>
        <w:t>#</w:t>
      </w:r>
      <w:r w:rsidR="00E22FD1" w:rsidRPr="00B91B7E">
        <w:rPr>
          <w:rFonts w:ascii="Times New Roman" w:eastAsiaTheme="minorEastAsia" w:hAnsi="Times New Roman"/>
          <w:sz w:val="22"/>
          <w:szCs w:val="22"/>
          <w:lang w:eastAsia="zh-CN"/>
        </w:rPr>
        <w:t>10</w:t>
      </w:r>
      <w:r w:rsidR="00894410">
        <w:rPr>
          <w:rFonts w:ascii="Times New Roman" w:eastAsiaTheme="minorEastAsia" w:hAnsi="Times New Roman"/>
          <w:sz w:val="22"/>
          <w:szCs w:val="22"/>
          <w:lang w:eastAsia="zh-CN"/>
        </w:rPr>
        <w:t>6</w:t>
      </w:r>
      <w:r w:rsidR="00172A51">
        <w:rPr>
          <w:rFonts w:ascii="Times New Roman" w:eastAsiaTheme="minorEastAsia" w:hAnsi="Times New Roman"/>
          <w:sz w:val="22"/>
          <w:szCs w:val="22"/>
          <w:lang w:eastAsia="zh-CN"/>
        </w:rPr>
        <w:t>b</w:t>
      </w:r>
      <w:r w:rsidR="004B58CA" w:rsidRPr="00B91B7E">
        <w:rPr>
          <w:rFonts w:ascii="Times New Roman" w:eastAsiaTheme="minorEastAsia" w:hAnsi="Times New Roman"/>
          <w:sz w:val="22"/>
          <w:szCs w:val="22"/>
          <w:lang w:eastAsia="zh-CN"/>
        </w:rPr>
        <w:t>-e</w:t>
      </w:r>
      <w:r w:rsidRPr="00B91B7E">
        <w:rPr>
          <w:rFonts w:ascii="Times New Roman" w:eastAsiaTheme="minorEastAsia" w:hAnsi="Times New Roman"/>
          <w:sz w:val="22"/>
          <w:szCs w:val="22"/>
          <w:lang w:eastAsia="zh-CN"/>
        </w:rPr>
        <w:t>,</w:t>
      </w:r>
      <w:r w:rsidR="004B58CA" w:rsidRPr="00B91B7E">
        <w:rPr>
          <w:rFonts w:ascii="Times New Roman" w:eastAsiaTheme="minorEastAsia" w:hAnsi="Times New Roman"/>
          <w:sz w:val="22"/>
          <w:szCs w:val="22"/>
          <w:lang w:eastAsia="zh-CN"/>
        </w:rPr>
        <w:t xml:space="preserve"> </w:t>
      </w:r>
      <w:r w:rsidR="001E3F7F">
        <w:rPr>
          <w:rFonts w:ascii="Times New Roman" w:eastAsiaTheme="minorEastAsia" w:hAnsi="Times New Roman"/>
          <w:sz w:val="22"/>
          <w:szCs w:val="22"/>
          <w:lang w:eastAsia="zh-CN"/>
        </w:rPr>
        <w:t xml:space="preserve">further </w:t>
      </w:r>
      <w:r w:rsidR="001E3F7F" w:rsidRPr="004B55EE">
        <w:rPr>
          <w:rFonts w:ascii="Times New Roman" w:eastAsiaTheme="minorEastAsia" w:hAnsi="Times New Roman"/>
          <w:sz w:val="22"/>
          <w:szCs w:val="22"/>
          <w:lang w:eastAsia="zh-CN"/>
        </w:rPr>
        <w:t xml:space="preserve">details </w:t>
      </w:r>
      <w:r w:rsidR="004B58CA" w:rsidRPr="004B55EE">
        <w:rPr>
          <w:rFonts w:ascii="Times New Roman" w:eastAsiaTheme="minorEastAsia" w:hAnsi="Times New Roman"/>
          <w:sz w:val="22"/>
          <w:szCs w:val="22"/>
          <w:lang w:eastAsia="zh-CN"/>
        </w:rPr>
        <w:t xml:space="preserve">on </w:t>
      </w:r>
      <w:r w:rsidR="00894410">
        <w:rPr>
          <w:rFonts w:ascii="Times New Roman" w:eastAsiaTheme="minorEastAsia" w:hAnsi="Times New Roman"/>
          <w:sz w:val="22"/>
          <w:szCs w:val="22"/>
          <w:lang w:eastAsia="zh-CN"/>
        </w:rPr>
        <w:t>Rel-17 unified TCI framework</w:t>
      </w:r>
      <w:r w:rsidR="001557BF" w:rsidRPr="004B55EE">
        <w:rPr>
          <w:rFonts w:ascii="Times New Roman" w:eastAsiaTheme="minorEastAsia" w:hAnsi="Times New Roman"/>
          <w:sz w:val="22"/>
          <w:szCs w:val="22"/>
          <w:lang w:eastAsia="zh-CN"/>
        </w:rPr>
        <w:t xml:space="preserve">, </w:t>
      </w:r>
      <w:r w:rsidR="00894410">
        <w:rPr>
          <w:rFonts w:ascii="Times New Roman" w:eastAsiaTheme="minorEastAsia" w:hAnsi="Times New Roman"/>
          <w:sz w:val="22"/>
          <w:szCs w:val="22"/>
          <w:lang w:eastAsia="zh-CN"/>
        </w:rPr>
        <w:t xml:space="preserve">Rel-17 beam indication enhancements for inter-cell beam management, </w:t>
      </w:r>
      <w:r w:rsidR="004B55EE">
        <w:rPr>
          <w:rFonts w:ascii="Times New Roman" w:eastAsiaTheme="minorEastAsia" w:hAnsi="Times New Roman"/>
          <w:sz w:val="22"/>
          <w:szCs w:val="22"/>
          <w:lang w:eastAsia="zh-CN"/>
        </w:rPr>
        <w:t>setting of UL PC parameters</w:t>
      </w:r>
      <w:r w:rsidR="00894410" w:rsidRPr="004B55EE">
        <w:rPr>
          <w:rFonts w:ascii="Times New Roman" w:eastAsiaTheme="minorEastAsia" w:hAnsi="Times New Roman"/>
          <w:sz w:val="22"/>
          <w:szCs w:val="22"/>
          <w:lang w:eastAsia="zh-CN"/>
        </w:rPr>
        <w:t xml:space="preserve">, </w:t>
      </w:r>
      <w:r w:rsidR="001617FB" w:rsidRPr="004B55EE">
        <w:rPr>
          <w:rFonts w:ascii="Times New Roman" w:eastAsiaTheme="minorEastAsia" w:hAnsi="Times New Roman"/>
          <w:sz w:val="22"/>
          <w:szCs w:val="22"/>
          <w:lang w:eastAsia="zh-CN"/>
        </w:rPr>
        <w:t xml:space="preserve">and </w:t>
      </w:r>
      <w:r w:rsidR="00894410">
        <w:rPr>
          <w:rFonts w:ascii="Times New Roman" w:eastAsiaTheme="minorEastAsia" w:hAnsi="Times New Roman"/>
          <w:sz w:val="22"/>
          <w:szCs w:val="22"/>
          <w:lang w:eastAsia="zh-CN"/>
        </w:rPr>
        <w:t>enhancements to facilitate MPE mitigation</w:t>
      </w:r>
      <w:r w:rsidR="00B12B35" w:rsidRPr="004B55EE">
        <w:rPr>
          <w:rFonts w:ascii="Times New Roman" w:eastAsiaTheme="minorEastAsia" w:hAnsi="Times New Roman"/>
          <w:sz w:val="22"/>
          <w:szCs w:val="22"/>
          <w:lang w:eastAsia="zh-CN"/>
        </w:rPr>
        <w:t xml:space="preserve"> </w:t>
      </w:r>
      <w:r w:rsidR="00790A31" w:rsidRPr="004B55EE">
        <w:rPr>
          <w:rFonts w:ascii="Times New Roman" w:eastAsiaTheme="minorEastAsia" w:hAnsi="Times New Roman"/>
          <w:sz w:val="22"/>
          <w:szCs w:val="22"/>
          <w:lang w:eastAsia="zh-CN"/>
        </w:rPr>
        <w:t>were</w:t>
      </w:r>
      <w:r w:rsidR="00BA5880" w:rsidRPr="004B55EE">
        <w:rPr>
          <w:rFonts w:ascii="Times New Roman" w:eastAsiaTheme="minorEastAsia" w:hAnsi="Times New Roman"/>
          <w:sz w:val="22"/>
          <w:szCs w:val="22"/>
          <w:lang w:eastAsia="zh-CN"/>
        </w:rPr>
        <w:t xml:space="preserve"> </w:t>
      </w:r>
      <w:r w:rsidR="001E3F7F" w:rsidRPr="004B55EE">
        <w:rPr>
          <w:rFonts w:ascii="Times New Roman" w:eastAsiaTheme="minorEastAsia" w:hAnsi="Times New Roman"/>
          <w:sz w:val="22"/>
          <w:szCs w:val="22"/>
          <w:lang w:eastAsia="zh-CN"/>
        </w:rPr>
        <w:t>agreed</w:t>
      </w:r>
      <w:r w:rsidR="00FF5B22">
        <w:rPr>
          <w:rFonts w:ascii="Times New Roman" w:eastAsiaTheme="minorEastAsia" w:hAnsi="Times New Roman"/>
          <w:sz w:val="22"/>
          <w:szCs w:val="22"/>
          <w:lang w:eastAsia="zh-CN"/>
        </w:rPr>
        <w:t xml:space="preserve"> [1]</w:t>
      </w:r>
      <w:r w:rsidR="001557BF" w:rsidRPr="004B55EE">
        <w:rPr>
          <w:rFonts w:ascii="Times New Roman" w:eastAsiaTheme="minorEastAsia" w:hAnsi="Times New Roman"/>
          <w:sz w:val="22"/>
          <w:szCs w:val="22"/>
          <w:lang w:eastAsia="zh-CN"/>
        </w:rPr>
        <w:t>.</w:t>
      </w:r>
      <w:r w:rsidR="00790A31" w:rsidRPr="004B55EE">
        <w:rPr>
          <w:rFonts w:ascii="Times New Roman" w:eastAsiaTheme="minorEastAsia" w:hAnsi="Times New Roman"/>
          <w:sz w:val="22"/>
          <w:szCs w:val="22"/>
          <w:lang w:eastAsia="zh-CN"/>
        </w:rPr>
        <w:t xml:space="preserve"> </w:t>
      </w:r>
      <w:r w:rsidR="008975FD" w:rsidRPr="004B55EE">
        <w:rPr>
          <w:rFonts w:ascii="Times New Roman" w:eastAsiaTheme="minorEastAsia" w:hAnsi="Times New Roman"/>
          <w:sz w:val="22"/>
          <w:szCs w:val="22"/>
          <w:lang w:eastAsia="zh-CN"/>
        </w:rPr>
        <w:t>In this contribution, we discuss</w:t>
      </w:r>
      <w:r w:rsidR="00D5797A" w:rsidRPr="004B55EE">
        <w:rPr>
          <w:rFonts w:ascii="Times New Roman" w:eastAsiaTheme="minorEastAsia" w:hAnsi="Times New Roman"/>
          <w:sz w:val="22"/>
          <w:szCs w:val="22"/>
          <w:lang w:eastAsia="zh-CN"/>
        </w:rPr>
        <w:t xml:space="preserve"> </w:t>
      </w:r>
      <w:r w:rsidR="001E3F7F" w:rsidRPr="004B55EE">
        <w:rPr>
          <w:rFonts w:ascii="Times New Roman" w:eastAsiaTheme="minorEastAsia" w:hAnsi="Times New Roman"/>
          <w:sz w:val="22"/>
          <w:szCs w:val="22"/>
          <w:lang w:eastAsia="zh-CN"/>
        </w:rPr>
        <w:t xml:space="preserve">remaining </w:t>
      </w:r>
      <w:r w:rsidR="00F43068" w:rsidRPr="004B55EE">
        <w:rPr>
          <w:rFonts w:ascii="Times New Roman" w:eastAsiaTheme="minorEastAsia" w:hAnsi="Times New Roman"/>
          <w:sz w:val="22"/>
          <w:szCs w:val="22"/>
          <w:lang w:eastAsia="zh-CN"/>
        </w:rPr>
        <w:t>details on</w:t>
      </w:r>
      <w:r w:rsidR="00987421" w:rsidRPr="004B55EE">
        <w:rPr>
          <w:rFonts w:ascii="Times New Roman" w:eastAsiaTheme="minorEastAsia" w:hAnsi="Times New Roman"/>
          <w:sz w:val="22"/>
          <w:szCs w:val="22"/>
          <w:lang w:eastAsia="zh-CN"/>
        </w:rPr>
        <w:t xml:space="preserve"> </w:t>
      </w:r>
      <w:r w:rsidR="00F43068" w:rsidRPr="004B55EE">
        <w:rPr>
          <w:rFonts w:ascii="Times New Roman" w:eastAsiaTheme="minorEastAsia" w:hAnsi="Times New Roman"/>
          <w:sz w:val="22"/>
          <w:szCs w:val="22"/>
          <w:lang w:eastAsia="zh-CN"/>
        </w:rPr>
        <w:t>Rel-17 beam management</w:t>
      </w:r>
      <w:r w:rsidR="00D5797A" w:rsidRPr="004B55EE">
        <w:rPr>
          <w:rFonts w:ascii="Times New Roman" w:eastAsiaTheme="minorEastAsia" w:hAnsi="Times New Roman"/>
          <w:sz w:val="22"/>
          <w:szCs w:val="22"/>
          <w:lang w:eastAsia="zh-CN"/>
        </w:rPr>
        <w:t>.</w:t>
      </w:r>
      <w:r w:rsidR="00D5797A" w:rsidRPr="00B91B7E">
        <w:rPr>
          <w:rFonts w:ascii="Times New Roman" w:eastAsiaTheme="minorEastAsia" w:hAnsi="Times New Roman"/>
          <w:sz w:val="22"/>
          <w:szCs w:val="22"/>
          <w:lang w:eastAsia="zh-CN"/>
        </w:rPr>
        <w:t xml:space="preserve"> </w:t>
      </w:r>
    </w:p>
    <w:p w14:paraId="1B1C9223" w14:textId="77777777" w:rsidR="0003199F" w:rsidRPr="00B91B7E" w:rsidRDefault="0003199F" w:rsidP="00E913CF">
      <w:pPr>
        <w:pStyle w:val="BodyText"/>
        <w:spacing w:after="0"/>
        <w:rPr>
          <w:rFonts w:ascii="Times New Roman" w:eastAsiaTheme="minorEastAsia" w:hAnsi="Times New Roman"/>
          <w:sz w:val="22"/>
          <w:szCs w:val="22"/>
          <w:lang w:eastAsia="zh-CN"/>
        </w:rPr>
      </w:pPr>
    </w:p>
    <w:p w14:paraId="30C33DB1" w14:textId="77777777" w:rsidR="00115DAB" w:rsidRPr="00B91B7E" w:rsidRDefault="00115DAB" w:rsidP="00E854CD">
      <w:pPr>
        <w:pStyle w:val="Heading1"/>
        <w:numPr>
          <w:ilvl w:val="0"/>
          <w:numId w:val="4"/>
        </w:numPr>
        <w:spacing w:before="0" w:after="120" w:line="276" w:lineRule="auto"/>
        <w:contextualSpacing/>
        <w:jc w:val="both"/>
        <w:rPr>
          <w:rFonts w:ascii="Times New Roman" w:hAnsi="Times New Roman"/>
          <w:smallCaps/>
          <w:lang w:val="en-US"/>
        </w:rPr>
      </w:pPr>
      <w:r w:rsidRPr="00E854CD">
        <w:rPr>
          <w:rFonts w:ascii="Times New Roman" w:hAnsi="Times New Roman"/>
          <w:smallCaps/>
          <w:lang w:val="en-US"/>
        </w:rPr>
        <w:t>Unified TCI framework for DL and UL</w:t>
      </w:r>
    </w:p>
    <w:p w14:paraId="4D0E6772" w14:textId="18AA22CD" w:rsidR="004E7E7D" w:rsidRPr="009315C6" w:rsidRDefault="004E7E7D" w:rsidP="004E7E7D">
      <w:pPr>
        <w:pStyle w:val="BodyText"/>
        <w:spacing w:after="60"/>
        <w:rPr>
          <w:rFonts w:ascii="Times New Roman" w:hAnsi="Times New Roman"/>
          <w:b/>
          <w:bCs/>
          <w:sz w:val="22"/>
          <w:szCs w:val="22"/>
          <w:u w:val="single"/>
          <w:lang w:val="en-GB"/>
        </w:rPr>
      </w:pPr>
      <w:r>
        <w:rPr>
          <w:rFonts w:ascii="Times New Roman" w:hAnsi="Times New Roman"/>
          <w:b/>
          <w:bCs/>
          <w:sz w:val="22"/>
          <w:szCs w:val="22"/>
          <w:u w:val="single"/>
          <w:lang w:val="en-GB"/>
        </w:rPr>
        <w:t>Configuration on SRS that does not share Rel-17 TCI state</w:t>
      </w:r>
    </w:p>
    <w:p w14:paraId="39B71FBB" w14:textId="03A97D45" w:rsidR="00B93F9D" w:rsidRDefault="004E7E7D" w:rsidP="00B93F9D">
      <w:pPr>
        <w:pStyle w:val="BodyText"/>
        <w:spacing w:after="60"/>
        <w:ind w:firstLine="288"/>
        <w:rPr>
          <w:rFonts w:ascii="Times New Roman" w:hAnsi="Times New Roman"/>
          <w:sz w:val="22"/>
          <w:szCs w:val="22"/>
          <w:lang w:val="en-GB"/>
        </w:rPr>
      </w:pPr>
      <w:r>
        <w:rPr>
          <w:rFonts w:ascii="Times New Roman" w:hAnsi="Times New Roman"/>
          <w:sz w:val="22"/>
          <w:szCs w:val="22"/>
          <w:lang w:val="en-GB"/>
        </w:rPr>
        <w:t xml:space="preserve">In RAN1#106b-e, it is agreed </w:t>
      </w:r>
      <w:r w:rsidR="004A3279">
        <w:rPr>
          <w:rFonts w:ascii="Times New Roman" w:hAnsi="Times New Roman"/>
          <w:sz w:val="22"/>
          <w:szCs w:val="22"/>
          <w:lang w:val="en-GB"/>
        </w:rPr>
        <w:t xml:space="preserve">to use RRC signaling to indicate </w:t>
      </w:r>
      <w:r>
        <w:rPr>
          <w:rFonts w:ascii="Times New Roman" w:hAnsi="Times New Roman"/>
          <w:sz w:val="22"/>
          <w:szCs w:val="22"/>
          <w:lang w:val="en-GB"/>
        </w:rPr>
        <w:t xml:space="preserve">which </w:t>
      </w:r>
      <w:r w:rsidRPr="004E7E7D">
        <w:rPr>
          <w:rFonts w:ascii="Times New Roman" w:hAnsi="Times New Roman"/>
          <w:sz w:val="22"/>
          <w:szCs w:val="22"/>
          <w:lang w:val="en-GB"/>
        </w:rPr>
        <w:t xml:space="preserve">SRS </w:t>
      </w:r>
      <w:r>
        <w:rPr>
          <w:rFonts w:ascii="Times New Roman" w:hAnsi="Times New Roman"/>
          <w:sz w:val="22"/>
          <w:szCs w:val="22"/>
          <w:lang w:val="en-GB"/>
        </w:rPr>
        <w:t xml:space="preserve">resource(s) </w:t>
      </w:r>
      <w:r w:rsidRPr="004E7E7D">
        <w:rPr>
          <w:rFonts w:ascii="Times New Roman" w:hAnsi="Times New Roman"/>
          <w:sz w:val="22"/>
          <w:szCs w:val="22"/>
          <w:lang w:val="en-GB"/>
        </w:rPr>
        <w:t>for BM, for antenna switching, or for codebook/non-</w:t>
      </w:r>
      <w:proofErr w:type="gramStart"/>
      <w:r w:rsidRPr="004E7E7D">
        <w:rPr>
          <w:rFonts w:ascii="Times New Roman" w:hAnsi="Times New Roman"/>
          <w:sz w:val="22"/>
          <w:szCs w:val="22"/>
          <w:lang w:val="en-GB"/>
        </w:rPr>
        <w:t>codebook based</w:t>
      </w:r>
      <w:proofErr w:type="gramEnd"/>
      <w:r w:rsidRPr="004E7E7D">
        <w:rPr>
          <w:rFonts w:ascii="Times New Roman" w:hAnsi="Times New Roman"/>
          <w:sz w:val="22"/>
          <w:szCs w:val="22"/>
          <w:lang w:val="en-GB"/>
        </w:rPr>
        <w:t xml:space="preserve"> uplink transmission </w:t>
      </w:r>
      <w:r w:rsidR="004A3279">
        <w:rPr>
          <w:rFonts w:ascii="Times New Roman" w:hAnsi="Times New Roman"/>
          <w:sz w:val="22"/>
          <w:szCs w:val="22"/>
          <w:lang w:val="en-GB"/>
        </w:rPr>
        <w:t xml:space="preserve">can </w:t>
      </w:r>
      <w:r w:rsidRPr="004E7E7D">
        <w:rPr>
          <w:rFonts w:ascii="Times New Roman" w:hAnsi="Times New Roman"/>
          <w:sz w:val="22"/>
          <w:szCs w:val="22"/>
          <w:lang w:val="en-GB"/>
        </w:rPr>
        <w:t>shar</w:t>
      </w:r>
      <w:r w:rsidR="004A3279">
        <w:rPr>
          <w:rFonts w:ascii="Times New Roman" w:hAnsi="Times New Roman"/>
          <w:sz w:val="22"/>
          <w:szCs w:val="22"/>
          <w:lang w:val="en-GB"/>
        </w:rPr>
        <w:t>e</w:t>
      </w:r>
      <w:r w:rsidRPr="004E7E7D">
        <w:rPr>
          <w:rFonts w:ascii="Times New Roman" w:hAnsi="Times New Roman"/>
          <w:sz w:val="22"/>
          <w:szCs w:val="22"/>
          <w:lang w:val="en-GB"/>
        </w:rPr>
        <w:t xml:space="preserve"> the same indicated Rel-17 TCI state as dynamic-grant/configured-grant based PUSCH</w:t>
      </w:r>
      <w:r>
        <w:rPr>
          <w:rFonts w:ascii="Times New Roman" w:hAnsi="Times New Roman"/>
          <w:sz w:val="22"/>
          <w:szCs w:val="22"/>
          <w:lang w:val="en-GB"/>
        </w:rPr>
        <w:t xml:space="preserve"> and</w:t>
      </w:r>
      <w:r w:rsidRPr="004E7E7D">
        <w:rPr>
          <w:rFonts w:ascii="Times New Roman" w:hAnsi="Times New Roman"/>
          <w:sz w:val="22"/>
          <w:szCs w:val="22"/>
          <w:lang w:val="en-GB"/>
        </w:rPr>
        <w:t xml:space="preserve"> all of dedicated PUCCH resources.</w:t>
      </w:r>
      <w:r>
        <w:rPr>
          <w:rFonts w:ascii="Times New Roman" w:hAnsi="Times New Roman"/>
          <w:sz w:val="22"/>
          <w:szCs w:val="22"/>
          <w:lang w:val="en-GB"/>
        </w:rPr>
        <w:t xml:space="preserve"> </w:t>
      </w:r>
      <w:r w:rsidR="004A3279">
        <w:rPr>
          <w:rFonts w:ascii="Times New Roman" w:hAnsi="Times New Roman"/>
          <w:sz w:val="22"/>
          <w:szCs w:val="22"/>
          <w:lang w:val="en-GB"/>
        </w:rPr>
        <w:t xml:space="preserve">It means there can be SRS resource(s) that does not share </w:t>
      </w:r>
      <w:r w:rsidR="004A3279" w:rsidRPr="004E7E7D">
        <w:rPr>
          <w:rFonts w:ascii="Times New Roman" w:hAnsi="Times New Roman"/>
          <w:sz w:val="22"/>
          <w:szCs w:val="22"/>
          <w:lang w:val="en-GB"/>
        </w:rPr>
        <w:t>the same indicated Rel-17 TCI state</w:t>
      </w:r>
      <w:r w:rsidR="00B93F9D">
        <w:rPr>
          <w:rFonts w:ascii="Times New Roman" w:hAnsi="Times New Roman"/>
          <w:sz w:val="22"/>
          <w:szCs w:val="22"/>
          <w:lang w:val="en-GB"/>
        </w:rPr>
        <w:t>. I</w:t>
      </w:r>
      <w:r w:rsidR="004A3279">
        <w:rPr>
          <w:rFonts w:ascii="Times New Roman" w:hAnsi="Times New Roman"/>
          <w:sz w:val="22"/>
          <w:szCs w:val="22"/>
          <w:lang w:val="en-GB"/>
        </w:rPr>
        <w:t>t is not yet agreed on w</w:t>
      </w:r>
      <w:r w:rsidR="004A3279" w:rsidRPr="004A3279">
        <w:rPr>
          <w:rFonts w:ascii="Times New Roman" w:hAnsi="Times New Roman"/>
          <w:sz w:val="22"/>
          <w:szCs w:val="22"/>
          <w:lang w:val="en-GB"/>
        </w:rPr>
        <w:t>hether SRS for BM, antenna switching, codebook</w:t>
      </w:r>
      <w:r w:rsidR="004A3279">
        <w:rPr>
          <w:rFonts w:ascii="Times New Roman" w:hAnsi="Times New Roman"/>
          <w:sz w:val="22"/>
          <w:szCs w:val="22"/>
          <w:lang w:val="en-GB"/>
        </w:rPr>
        <w:t>/</w:t>
      </w:r>
      <w:r w:rsidR="004A3279" w:rsidRPr="004A3279">
        <w:rPr>
          <w:rFonts w:ascii="Times New Roman" w:hAnsi="Times New Roman"/>
          <w:sz w:val="22"/>
          <w:szCs w:val="22"/>
          <w:lang w:val="en-GB"/>
        </w:rPr>
        <w:t>non-codebook-based UL transmission</w:t>
      </w:r>
      <w:r w:rsidR="00B93F9D">
        <w:rPr>
          <w:rFonts w:ascii="Times New Roman" w:hAnsi="Times New Roman"/>
          <w:sz w:val="22"/>
          <w:szCs w:val="22"/>
          <w:lang w:val="en-GB"/>
        </w:rPr>
        <w:t xml:space="preserve">, that </w:t>
      </w:r>
      <w:r w:rsidR="00B93F9D" w:rsidRPr="004A3279">
        <w:rPr>
          <w:rFonts w:ascii="Times New Roman" w:hAnsi="Times New Roman"/>
          <w:sz w:val="22"/>
          <w:szCs w:val="22"/>
          <w:lang w:val="en-GB"/>
        </w:rPr>
        <w:t>doesn’t share the same indicated Rel-17</w:t>
      </w:r>
      <w:r w:rsidR="00151BF4">
        <w:rPr>
          <w:rFonts w:ascii="Times New Roman" w:hAnsi="Times New Roman"/>
          <w:sz w:val="22"/>
          <w:szCs w:val="22"/>
          <w:lang w:val="en-GB"/>
        </w:rPr>
        <w:t xml:space="preserve"> TCI state</w:t>
      </w:r>
      <w:r w:rsidR="00B93F9D">
        <w:rPr>
          <w:rFonts w:ascii="Times New Roman" w:hAnsi="Times New Roman"/>
          <w:sz w:val="22"/>
          <w:szCs w:val="22"/>
          <w:lang w:val="en-GB"/>
        </w:rPr>
        <w:t xml:space="preserve">, </w:t>
      </w:r>
      <w:r w:rsidR="004A3279" w:rsidRPr="004A3279">
        <w:rPr>
          <w:rFonts w:ascii="Times New Roman" w:hAnsi="Times New Roman"/>
          <w:sz w:val="22"/>
          <w:szCs w:val="22"/>
          <w:lang w:val="en-GB"/>
        </w:rPr>
        <w:t>can be configured as a target signal/channel of a Rel-17 UL TCI</w:t>
      </w:r>
      <w:r w:rsidR="00B93F9D">
        <w:rPr>
          <w:rFonts w:ascii="Times New Roman" w:hAnsi="Times New Roman"/>
          <w:sz w:val="22"/>
          <w:szCs w:val="22"/>
          <w:lang w:val="en-GB"/>
        </w:rPr>
        <w:t>.</w:t>
      </w:r>
    </w:p>
    <w:p w14:paraId="5B4533EA" w14:textId="712F9569" w:rsidR="00B93F9D" w:rsidRDefault="00B93F9D" w:rsidP="00B93F9D">
      <w:pPr>
        <w:pStyle w:val="BodyText"/>
        <w:spacing w:after="60"/>
        <w:ind w:firstLine="288"/>
        <w:rPr>
          <w:rFonts w:ascii="Times New Roman" w:hAnsi="Times New Roman"/>
          <w:sz w:val="22"/>
          <w:szCs w:val="22"/>
          <w:lang w:val="en-GB"/>
        </w:rPr>
      </w:pPr>
      <w:r>
        <w:rPr>
          <w:rFonts w:ascii="Times New Roman" w:hAnsi="Times New Roman"/>
          <w:sz w:val="22"/>
          <w:szCs w:val="22"/>
          <w:lang w:val="en-GB"/>
        </w:rPr>
        <w:t xml:space="preserve">Since </w:t>
      </w:r>
      <w:r w:rsidR="00151BF4">
        <w:rPr>
          <w:rFonts w:ascii="Times New Roman" w:hAnsi="Times New Roman"/>
          <w:sz w:val="22"/>
          <w:szCs w:val="22"/>
          <w:lang w:val="en-GB"/>
        </w:rPr>
        <w:t xml:space="preserve">Rel-15/16 spatial-relation based mechanisms can control a beam for each SRS resource individually and control a </w:t>
      </w:r>
      <w:r w:rsidR="00CA7B1C">
        <w:rPr>
          <w:rFonts w:ascii="Times New Roman" w:hAnsi="Times New Roman"/>
          <w:sz w:val="22"/>
          <w:szCs w:val="22"/>
          <w:lang w:val="en-GB"/>
        </w:rPr>
        <w:t xml:space="preserve">UL </w:t>
      </w:r>
      <w:r w:rsidR="00151BF4">
        <w:rPr>
          <w:rFonts w:ascii="Times New Roman" w:hAnsi="Times New Roman"/>
          <w:sz w:val="22"/>
          <w:szCs w:val="22"/>
          <w:lang w:val="en-GB"/>
        </w:rPr>
        <w:t xml:space="preserve">PC setting per SRS resource set basis, this functionality should remain the same for SRS resource(s) that </w:t>
      </w:r>
      <w:r w:rsidR="00151BF4" w:rsidRPr="004A3279">
        <w:rPr>
          <w:rFonts w:ascii="Times New Roman" w:hAnsi="Times New Roman"/>
          <w:sz w:val="22"/>
          <w:szCs w:val="22"/>
          <w:lang w:val="en-GB"/>
        </w:rPr>
        <w:t>doesn’t share the same indicated Rel-17</w:t>
      </w:r>
      <w:r w:rsidR="00151BF4" w:rsidRPr="00151BF4">
        <w:rPr>
          <w:rFonts w:ascii="Times New Roman" w:hAnsi="Times New Roman"/>
          <w:sz w:val="22"/>
          <w:szCs w:val="22"/>
          <w:lang w:val="en-GB"/>
        </w:rPr>
        <w:t xml:space="preserve"> </w:t>
      </w:r>
      <w:r w:rsidR="00151BF4" w:rsidRPr="004E7E7D">
        <w:rPr>
          <w:rFonts w:ascii="Times New Roman" w:hAnsi="Times New Roman"/>
          <w:sz w:val="22"/>
          <w:szCs w:val="22"/>
          <w:lang w:val="en-GB"/>
        </w:rPr>
        <w:t>TCI state</w:t>
      </w:r>
      <w:r w:rsidR="00151BF4">
        <w:rPr>
          <w:rFonts w:ascii="Times New Roman" w:hAnsi="Times New Roman"/>
          <w:sz w:val="22"/>
          <w:szCs w:val="22"/>
          <w:lang w:val="en-GB"/>
        </w:rPr>
        <w:t xml:space="preserve">. For example, all the configured SRS resources in </w:t>
      </w:r>
      <w:proofErr w:type="gramStart"/>
      <w:r w:rsidR="00151BF4">
        <w:rPr>
          <w:rFonts w:ascii="Times New Roman" w:hAnsi="Times New Roman"/>
          <w:sz w:val="22"/>
          <w:szCs w:val="22"/>
          <w:lang w:val="en-GB"/>
        </w:rPr>
        <w:t>a</w:t>
      </w:r>
      <w:proofErr w:type="gramEnd"/>
      <w:r w:rsidR="00151BF4">
        <w:rPr>
          <w:rFonts w:ascii="Times New Roman" w:hAnsi="Times New Roman"/>
          <w:sz w:val="22"/>
          <w:szCs w:val="22"/>
          <w:lang w:val="en-GB"/>
        </w:rPr>
        <w:t xml:space="preserve"> SRS resource set for BM should have the same </w:t>
      </w:r>
      <w:r w:rsidR="00CA7B1C">
        <w:rPr>
          <w:rFonts w:ascii="Times New Roman" w:hAnsi="Times New Roman"/>
          <w:sz w:val="22"/>
          <w:szCs w:val="22"/>
          <w:lang w:val="en-GB"/>
        </w:rPr>
        <w:t xml:space="preserve">UL </w:t>
      </w:r>
      <w:r w:rsidR="00151BF4">
        <w:rPr>
          <w:rFonts w:ascii="Times New Roman" w:hAnsi="Times New Roman"/>
          <w:sz w:val="22"/>
          <w:szCs w:val="22"/>
          <w:lang w:val="en-GB"/>
        </w:rPr>
        <w:t xml:space="preserve">PC setting while each SRS resource in the set can have a separated beam indication to do the SRS beam sweeping properly. In that sense, </w:t>
      </w:r>
      <w:r w:rsidR="00DF5A42">
        <w:rPr>
          <w:rFonts w:ascii="Times New Roman" w:hAnsi="Times New Roman"/>
          <w:sz w:val="22"/>
          <w:szCs w:val="22"/>
          <w:lang w:val="en-GB"/>
        </w:rPr>
        <w:t xml:space="preserve">directly reusing all Rel-15/16 mechanisms for SRS resource(s) that doesn’t share the same indicated Rel-17 TCI can be considered. </w:t>
      </w:r>
      <w:proofErr w:type="gramStart"/>
      <w:r w:rsidR="004B275B">
        <w:rPr>
          <w:rFonts w:ascii="Times New Roman" w:hAnsi="Times New Roman"/>
          <w:sz w:val="22"/>
          <w:szCs w:val="22"/>
          <w:lang w:val="en-GB"/>
        </w:rPr>
        <w:t>Or</w:t>
      </w:r>
      <w:r w:rsidR="000C1016">
        <w:rPr>
          <w:rFonts w:ascii="Times New Roman" w:hAnsi="Times New Roman"/>
          <w:sz w:val="22"/>
          <w:szCs w:val="22"/>
          <w:lang w:val="en-GB"/>
        </w:rPr>
        <w:t>,</w:t>
      </w:r>
      <w:proofErr w:type="gramEnd"/>
      <w:r w:rsidR="000C1016">
        <w:rPr>
          <w:rFonts w:ascii="Times New Roman" w:hAnsi="Times New Roman"/>
          <w:sz w:val="22"/>
          <w:szCs w:val="22"/>
          <w:lang w:val="en-GB"/>
        </w:rPr>
        <w:t xml:space="preserve"> </w:t>
      </w:r>
      <w:r w:rsidR="000C1016" w:rsidRPr="000C1016">
        <w:rPr>
          <w:rFonts w:ascii="Times New Roman" w:hAnsi="Times New Roman"/>
          <w:sz w:val="22"/>
          <w:szCs w:val="22"/>
          <w:lang w:val="en-GB"/>
        </w:rPr>
        <w:t>any SRS resource that is a valid target signal of a Rel-15/16 UL spatial relation can be configured as a target signal/channel of a Rel-17 UL</w:t>
      </w:r>
      <w:r w:rsidR="000C1016">
        <w:rPr>
          <w:rFonts w:ascii="Times New Roman" w:hAnsi="Times New Roman"/>
          <w:sz w:val="22"/>
          <w:szCs w:val="22"/>
          <w:lang w:val="en-GB"/>
        </w:rPr>
        <w:t xml:space="preserve"> </w:t>
      </w:r>
      <w:r w:rsidR="00CA7B1C">
        <w:rPr>
          <w:rFonts w:ascii="Times New Roman" w:hAnsi="Times New Roman"/>
          <w:sz w:val="22"/>
          <w:szCs w:val="22"/>
          <w:lang w:val="en-GB"/>
        </w:rPr>
        <w:t>which reuses the Rel-15/16 spatial relation info update mechanisms</w:t>
      </w:r>
      <w:r w:rsidR="000C1016">
        <w:rPr>
          <w:rFonts w:ascii="Times New Roman" w:hAnsi="Times New Roman"/>
          <w:sz w:val="22"/>
          <w:szCs w:val="22"/>
          <w:lang w:val="en-GB"/>
        </w:rPr>
        <w:t xml:space="preserve">, </w:t>
      </w:r>
      <w:r w:rsidR="00CA7B1C">
        <w:rPr>
          <w:rFonts w:ascii="Times New Roman" w:hAnsi="Times New Roman"/>
          <w:sz w:val="22"/>
          <w:szCs w:val="22"/>
          <w:lang w:val="en-GB"/>
        </w:rPr>
        <w:t>with having a restriction that the SRS resources in the same set should be associated with the same UL PC setting.</w:t>
      </w:r>
    </w:p>
    <w:p w14:paraId="167DC484" w14:textId="77777777" w:rsidR="004E7E7D" w:rsidRDefault="004E7E7D" w:rsidP="004E7E7D">
      <w:pPr>
        <w:pStyle w:val="BodyText"/>
        <w:spacing w:after="60"/>
        <w:rPr>
          <w:rFonts w:ascii="Times New Roman" w:hAnsi="Times New Roman"/>
          <w:sz w:val="22"/>
          <w:szCs w:val="22"/>
          <w:lang w:val="en-GB"/>
        </w:rPr>
      </w:pPr>
    </w:p>
    <w:p w14:paraId="71E8C501" w14:textId="66893312" w:rsidR="004E7E7D" w:rsidRDefault="004E7E7D" w:rsidP="004E7E7D">
      <w:pPr>
        <w:spacing w:after="0"/>
        <w:contextualSpacing/>
        <w:jc w:val="both"/>
        <w:rPr>
          <w:bCs/>
          <w:i/>
          <w:sz w:val="22"/>
        </w:rPr>
      </w:pPr>
      <w:r w:rsidRPr="00B91B7E">
        <w:rPr>
          <w:b/>
          <w:i/>
          <w:sz w:val="22"/>
        </w:rPr>
        <w:t xml:space="preserve">Proposal </w:t>
      </w:r>
      <w:r>
        <w:rPr>
          <w:b/>
          <w:i/>
          <w:sz w:val="22"/>
        </w:rPr>
        <w:t>1</w:t>
      </w:r>
      <w:r w:rsidRPr="00B91B7E">
        <w:rPr>
          <w:b/>
          <w:i/>
          <w:sz w:val="22"/>
        </w:rPr>
        <w:t>:</w:t>
      </w:r>
      <w:r w:rsidRPr="00B91B7E">
        <w:rPr>
          <w:bCs/>
          <w:i/>
          <w:sz w:val="22"/>
        </w:rPr>
        <w:t xml:space="preserve"> </w:t>
      </w:r>
      <w:r w:rsidR="00CA7B1C">
        <w:rPr>
          <w:bCs/>
          <w:i/>
          <w:sz w:val="22"/>
        </w:rPr>
        <w:t>A</w:t>
      </w:r>
      <w:r w:rsidR="00CA7B1C" w:rsidRPr="00CA7B1C">
        <w:rPr>
          <w:bCs/>
          <w:i/>
          <w:sz w:val="22"/>
        </w:rPr>
        <w:t>ny SRS resource that is a valid target signal of a Rel-15/16 UL spatial relation can be configured as a target signal/channel of a Rel-17 UL which reuses the Rel-15/16 spatial relation info update mechanisms, with having a restriction that the SRS resources in the same set should be associated with the same UL PC setting</w:t>
      </w:r>
      <w:r>
        <w:rPr>
          <w:bCs/>
          <w:i/>
          <w:sz w:val="22"/>
        </w:rPr>
        <w:t>.</w:t>
      </w:r>
    </w:p>
    <w:p w14:paraId="541CAC43" w14:textId="77777777" w:rsidR="00F07424" w:rsidRDefault="00F07424" w:rsidP="00940C24">
      <w:pPr>
        <w:spacing w:after="0"/>
        <w:contextualSpacing/>
        <w:jc w:val="both"/>
        <w:rPr>
          <w:bCs/>
          <w:i/>
          <w:sz w:val="22"/>
          <w:lang w:eastAsia="ko-KR"/>
        </w:rPr>
      </w:pPr>
    </w:p>
    <w:p w14:paraId="2F5830F8" w14:textId="77777777" w:rsidR="00326160" w:rsidRPr="00B91B7E" w:rsidRDefault="00326160" w:rsidP="00940C24">
      <w:pPr>
        <w:spacing w:after="0"/>
        <w:contextualSpacing/>
        <w:jc w:val="both"/>
        <w:rPr>
          <w:bCs/>
          <w:i/>
          <w:sz w:val="22"/>
          <w:lang w:eastAsia="ko-KR"/>
        </w:rPr>
      </w:pPr>
    </w:p>
    <w:p w14:paraId="49313895" w14:textId="2CE6B52B" w:rsidR="00292D52" w:rsidRPr="00AC5215" w:rsidRDefault="00292D52" w:rsidP="00292D52">
      <w:pPr>
        <w:pStyle w:val="BodyText"/>
        <w:spacing w:after="60"/>
        <w:rPr>
          <w:rFonts w:ascii="Times New Roman" w:hAnsi="Times New Roman"/>
          <w:b/>
          <w:bCs/>
          <w:sz w:val="22"/>
          <w:szCs w:val="22"/>
          <w:u w:val="single"/>
        </w:rPr>
      </w:pPr>
      <w:r>
        <w:rPr>
          <w:rFonts w:ascii="Times New Roman" w:hAnsi="Times New Roman"/>
          <w:b/>
          <w:bCs/>
          <w:sz w:val="22"/>
          <w:szCs w:val="22"/>
          <w:u w:val="single"/>
        </w:rPr>
        <w:t>DCI formats for separate UL beam indication</w:t>
      </w:r>
    </w:p>
    <w:p w14:paraId="7C8EFE9C" w14:textId="5ED3A6A0" w:rsidR="00292D52" w:rsidRDefault="00292D52" w:rsidP="00292D52">
      <w:pPr>
        <w:pStyle w:val="BodyText"/>
        <w:spacing w:after="60"/>
        <w:rPr>
          <w:rFonts w:ascii="Times New Roman" w:hAnsi="Times New Roman"/>
          <w:sz w:val="22"/>
          <w:szCs w:val="22"/>
        </w:rPr>
      </w:pPr>
      <w:r>
        <w:rPr>
          <w:rFonts w:ascii="Times New Roman" w:hAnsi="Times New Roman"/>
          <w:sz w:val="22"/>
          <w:szCs w:val="22"/>
        </w:rPr>
        <w:tab/>
        <w:t>When gNB utilizes the existing DCI formats 1_1 and 1_2 for separate UL beam indication, the overall operation may not be efficient as the existing DCI formats 1_1 and 1_2 are DL DCI formats. Figure</w:t>
      </w:r>
      <w:r w:rsidR="00713148">
        <w:rPr>
          <w:rFonts w:ascii="Times New Roman" w:hAnsi="Times New Roman"/>
          <w:sz w:val="22"/>
          <w:szCs w:val="22"/>
        </w:rPr>
        <w:t>s</w:t>
      </w:r>
      <w:r>
        <w:rPr>
          <w:rFonts w:ascii="Times New Roman" w:hAnsi="Times New Roman"/>
          <w:sz w:val="22"/>
          <w:szCs w:val="22"/>
        </w:rPr>
        <w:t xml:space="preserve"> 1 </w:t>
      </w:r>
      <w:r w:rsidR="00713148">
        <w:rPr>
          <w:rFonts w:ascii="Times New Roman" w:hAnsi="Times New Roman"/>
          <w:sz w:val="22"/>
          <w:szCs w:val="22"/>
        </w:rPr>
        <w:t xml:space="preserve">– 2 </w:t>
      </w:r>
      <w:r>
        <w:rPr>
          <w:rFonts w:ascii="Times New Roman" w:hAnsi="Times New Roman"/>
          <w:sz w:val="22"/>
          <w:szCs w:val="22"/>
        </w:rPr>
        <w:t>show exemplary operation</w:t>
      </w:r>
      <w:r w:rsidR="00713148">
        <w:rPr>
          <w:rFonts w:ascii="Times New Roman" w:hAnsi="Times New Roman"/>
          <w:sz w:val="22"/>
          <w:szCs w:val="22"/>
        </w:rPr>
        <w:t>s</w:t>
      </w:r>
      <w:r>
        <w:rPr>
          <w:rFonts w:ascii="Times New Roman" w:hAnsi="Times New Roman"/>
          <w:sz w:val="22"/>
          <w:szCs w:val="22"/>
        </w:rPr>
        <w:t xml:space="preserve"> with the </w:t>
      </w:r>
      <w:r w:rsidR="00713148">
        <w:rPr>
          <w:rFonts w:ascii="Times New Roman" w:hAnsi="Times New Roman"/>
          <w:sz w:val="22"/>
          <w:szCs w:val="22"/>
        </w:rPr>
        <w:t>D</w:t>
      </w:r>
      <w:r>
        <w:rPr>
          <w:rFonts w:ascii="Times New Roman" w:hAnsi="Times New Roman"/>
          <w:sz w:val="22"/>
          <w:szCs w:val="22"/>
        </w:rPr>
        <w:t xml:space="preserve">CI formats </w:t>
      </w:r>
      <w:r w:rsidR="00713148">
        <w:rPr>
          <w:rFonts w:ascii="Times New Roman" w:hAnsi="Times New Roman"/>
          <w:sz w:val="22"/>
          <w:szCs w:val="22"/>
        </w:rPr>
        <w:t xml:space="preserve">1_1/1_2 and the DCI formats 0_1/0_2, respectively, </w:t>
      </w:r>
      <w:r>
        <w:rPr>
          <w:rFonts w:ascii="Times New Roman" w:hAnsi="Times New Roman"/>
          <w:sz w:val="22"/>
          <w:szCs w:val="22"/>
        </w:rPr>
        <w:t xml:space="preserve">for separate UL beam indication. </w:t>
      </w:r>
    </w:p>
    <w:p w14:paraId="19931F12" w14:textId="685AD3DB"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Separate UL beam indication with DCI formats 1_1 and 1_2</w:t>
      </w:r>
    </w:p>
    <w:p w14:paraId="6A0E55D2" w14:textId="5B5A0018" w:rsidR="00292D52" w:rsidRDefault="00292D52"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lastRenderedPageBreak/>
        <w:drawing>
          <wp:inline distT="0" distB="0" distL="0" distR="0" wp14:anchorId="0C48168D" wp14:editId="4AACAACC">
            <wp:extent cx="5396545" cy="1835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6770" cy="1838773"/>
                    </a:xfrm>
                    <a:prstGeom prst="rect">
                      <a:avLst/>
                    </a:prstGeom>
                    <a:noFill/>
                  </pic:spPr>
                </pic:pic>
              </a:graphicData>
            </a:graphic>
          </wp:inline>
        </w:drawing>
      </w:r>
    </w:p>
    <w:p w14:paraId="2DE3B0F1" w14:textId="787F05E9"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2</w:t>
      </w:r>
      <w:r w:rsidRPr="001E23A0">
        <w:rPr>
          <w:rFonts w:ascii="Arial" w:hAnsi="Arial" w:cs="Arial"/>
        </w:rPr>
        <w:t xml:space="preserve"> </w:t>
      </w:r>
      <w:r>
        <w:rPr>
          <w:rFonts w:ascii="Arial" w:hAnsi="Arial" w:cs="Arial"/>
          <w:b w:val="0"/>
          <w:bCs w:val="0"/>
        </w:rPr>
        <w:t>Separate UL beam indication with DCI formats 0_1 and 0_2</w:t>
      </w:r>
    </w:p>
    <w:p w14:paraId="0E1059D9" w14:textId="722D16FA" w:rsidR="00292D52" w:rsidRPr="00292D52" w:rsidRDefault="00D4360A"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drawing>
          <wp:inline distT="0" distB="0" distL="0" distR="0" wp14:anchorId="2E402946" wp14:editId="17D50874">
            <wp:extent cx="3960949" cy="1781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0473" cy="1785513"/>
                    </a:xfrm>
                    <a:prstGeom prst="rect">
                      <a:avLst/>
                    </a:prstGeom>
                    <a:noFill/>
                  </pic:spPr>
                </pic:pic>
              </a:graphicData>
            </a:graphic>
          </wp:inline>
        </w:drawing>
      </w:r>
    </w:p>
    <w:p w14:paraId="4596A5BA" w14:textId="0FF267D7" w:rsidR="00713148" w:rsidRDefault="00713148" w:rsidP="00713148">
      <w:pPr>
        <w:pStyle w:val="BodyText"/>
        <w:spacing w:after="60"/>
        <w:rPr>
          <w:rFonts w:ascii="Times New Roman" w:hAnsi="Times New Roman"/>
          <w:sz w:val="22"/>
          <w:szCs w:val="22"/>
          <w:lang w:val="en-GB"/>
        </w:rPr>
      </w:pPr>
      <w:r>
        <w:rPr>
          <w:rFonts w:ascii="Times New Roman" w:hAnsi="Times New Roman"/>
          <w:sz w:val="22"/>
          <w:szCs w:val="22"/>
          <w:lang w:val="en-GB"/>
        </w:rPr>
        <w:tab/>
        <w:t xml:space="preserve">As shown in Figure 1, when gNB utilizes the DCI formats 1_1 and 1_2, UE needs to decode both DL DCI for </w:t>
      </w:r>
      <w:r w:rsidR="00F61ACB">
        <w:rPr>
          <w:rFonts w:ascii="Times New Roman" w:hAnsi="Times New Roman"/>
          <w:sz w:val="22"/>
          <w:szCs w:val="22"/>
          <w:lang w:val="en-GB"/>
        </w:rPr>
        <w:t xml:space="preserve">new </w:t>
      </w:r>
      <w:r>
        <w:rPr>
          <w:rFonts w:ascii="Times New Roman" w:hAnsi="Times New Roman"/>
          <w:sz w:val="22"/>
          <w:szCs w:val="22"/>
          <w:lang w:val="en-GB"/>
        </w:rPr>
        <w:t xml:space="preserve">beam indication and UL DCI for PUSCH scheduling. In addition, UL scheduling offset and processing time for new beam application should be independently applied as </w:t>
      </w:r>
      <w:r w:rsidR="00F61ACB">
        <w:rPr>
          <w:rFonts w:ascii="Times New Roman" w:hAnsi="Times New Roman"/>
          <w:sz w:val="22"/>
          <w:szCs w:val="22"/>
          <w:lang w:val="en-GB"/>
        </w:rPr>
        <w:t xml:space="preserve">the new </w:t>
      </w:r>
      <w:r>
        <w:rPr>
          <w:rFonts w:ascii="Times New Roman" w:hAnsi="Times New Roman"/>
          <w:sz w:val="22"/>
          <w:szCs w:val="22"/>
          <w:lang w:val="en-GB"/>
        </w:rPr>
        <w:t xml:space="preserve">beam indication and </w:t>
      </w:r>
      <w:r w:rsidR="00F61ACB">
        <w:rPr>
          <w:rFonts w:ascii="Times New Roman" w:hAnsi="Times New Roman"/>
          <w:sz w:val="22"/>
          <w:szCs w:val="22"/>
          <w:lang w:val="en-GB"/>
        </w:rPr>
        <w:t>the PUSCH</w:t>
      </w:r>
      <w:r>
        <w:rPr>
          <w:rFonts w:ascii="Times New Roman" w:hAnsi="Times New Roman"/>
          <w:sz w:val="22"/>
          <w:szCs w:val="22"/>
          <w:lang w:val="en-GB"/>
        </w:rPr>
        <w:t xml:space="preserve"> utilize different DCI formats. On the other hand, </w:t>
      </w:r>
      <w:r w:rsidR="009A7A56">
        <w:rPr>
          <w:rFonts w:ascii="Times New Roman" w:hAnsi="Times New Roman"/>
          <w:sz w:val="22"/>
          <w:szCs w:val="22"/>
          <w:lang w:val="en-GB"/>
        </w:rPr>
        <w:t xml:space="preserve">when gNB utilizes the DCI formats 0_1 and 0_2 </w:t>
      </w:r>
      <w:r w:rsidR="00F61ACB">
        <w:rPr>
          <w:rFonts w:ascii="Times New Roman" w:hAnsi="Times New Roman"/>
          <w:sz w:val="22"/>
          <w:szCs w:val="22"/>
          <w:lang w:val="en-GB"/>
        </w:rPr>
        <w:t xml:space="preserve">for both new beam indication and PUSCH scheduling </w:t>
      </w:r>
      <w:r>
        <w:rPr>
          <w:rFonts w:ascii="Times New Roman" w:hAnsi="Times New Roman"/>
          <w:sz w:val="22"/>
          <w:szCs w:val="22"/>
          <w:lang w:val="en-GB"/>
        </w:rPr>
        <w:t xml:space="preserve">as shown in Figure 2, </w:t>
      </w:r>
      <w:r w:rsidR="009A7A56">
        <w:rPr>
          <w:rFonts w:ascii="Times New Roman" w:hAnsi="Times New Roman"/>
          <w:sz w:val="22"/>
          <w:szCs w:val="22"/>
          <w:lang w:val="en-GB"/>
        </w:rPr>
        <w:t xml:space="preserve">UE needs to decode only UL DCI, so PDCCH decoding latency can be reduced. In addition, processing time for PUSCH transmission and new beam application can be combined if UE </w:t>
      </w:r>
      <w:r w:rsidR="00F61ACB">
        <w:rPr>
          <w:rFonts w:ascii="Times New Roman" w:hAnsi="Times New Roman"/>
          <w:sz w:val="22"/>
          <w:szCs w:val="22"/>
          <w:lang w:val="en-GB"/>
        </w:rPr>
        <w:t xml:space="preserve">implementation allows </w:t>
      </w:r>
      <w:r w:rsidR="009A7A56">
        <w:rPr>
          <w:rFonts w:ascii="Times New Roman" w:hAnsi="Times New Roman"/>
          <w:sz w:val="22"/>
          <w:szCs w:val="22"/>
          <w:lang w:val="en-GB"/>
        </w:rPr>
        <w:t>simultaneous process</w:t>
      </w:r>
      <w:r w:rsidR="00F61ACB">
        <w:rPr>
          <w:rFonts w:ascii="Times New Roman" w:hAnsi="Times New Roman"/>
          <w:sz w:val="22"/>
          <w:szCs w:val="22"/>
          <w:lang w:val="en-GB"/>
        </w:rPr>
        <w:t>ing of</w:t>
      </w:r>
      <w:r w:rsidR="009A7A56">
        <w:rPr>
          <w:rFonts w:ascii="Times New Roman" w:hAnsi="Times New Roman"/>
          <w:sz w:val="22"/>
          <w:szCs w:val="22"/>
          <w:lang w:val="en-GB"/>
        </w:rPr>
        <w:t xml:space="preserve"> both operations. </w:t>
      </w:r>
    </w:p>
    <w:p w14:paraId="54E135A4" w14:textId="2A24538B" w:rsidR="00713148" w:rsidRDefault="00713148" w:rsidP="00713148">
      <w:pPr>
        <w:pStyle w:val="BodyText"/>
        <w:spacing w:after="60"/>
        <w:rPr>
          <w:rFonts w:ascii="Times New Roman" w:hAnsi="Times New Roman"/>
          <w:sz w:val="22"/>
          <w:szCs w:val="22"/>
          <w:lang w:val="en-GB"/>
        </w:rPr>
      </w:pPr>
    </w:p>
    <w:p w14:paraId="45AC32D4" w14:textId="25CE6A2E" w:rsidR="005B321E" w:rsidRPr="00B91B7E" w:rsidRDefault="005B321E" w:rsidP="005B321E">
      <w:pPr>
        <w:spacing w:after="0"/>
        <w:contextualSpacing/>
        <w:jc w:val="both"/>
        <w:rPr>
          <w:i/>
          <w:sz w:val="22"/>
        </w:rPr>
      </w:pPr>
      <w:r w:rsidRPr="00B91B7E">
        <w:rPr>
          <w:b/>
          <w:bCs/>
          <w:i/>
          <w:sz w:val="22"/>
        </w:rPr>
        <w:t xml:space="preserve">Observation </w:t>
      </w:r>
      <w:r w:rsidR="00940C24">
        <w:rPr>
          <w:b/>
          <w:bCs/>
          <w:i/>
          <w:sz w:val="22"/>
        </w:rPr>
        <w:t>1</w:t>
      </w:r>
      <w:r w:rsidRPr="00B91B7E">
        <w:rPr>
          <w:b/>
          <w:bCs/>
          <w:i/>
          <w:sz w:val="22"/>
        </w:rPr>
        <w:t xml:space="preserve">: </w:t>
      </w:r>
      <w:r>
        <w:rPr>
          <w:i/>
          <w:sz w:val="22"/>
        </w:rPr>
        <w:t xml:space="preserve">For separate UL beam indication, utilization of existing UL DCI formats </w:t>
      </w:r>
      <w:r w:rsidR="00F61ACB">
        <w:rPr>
          <w:i/>
          <w:sz w:val="22"/>
        </w:rPr>
        <w:t xml:space="preserve">0_1 and 0_2 </w:t>
      </w:r>
      <w:r w:rsidR="00161F89">
        <w:rPr>
          <w:i/>
          <w:sz w:val="22"/>
        </w:rPr>
        <w:t>is</w:t>
      </w:r>
      <w:r>
        <w:rPr>
          <w:i/>
          <w:sz w:val="22"/>
        </w:rPr>
        <w:t xml:space="preserve"> more efficient as it doesn’t require multiple PDCCH decoding and combined UE processing </w:t>
      </w:r>
      <w:r w:rsidR="00117514">
        <w:rPr>
          <w:i/>
          <w:sz w:val="22"/>
        </w:rPr>
        <w:t xml:space="preserve">time is possible </w:t>
      </w:r>
      <w:r>
        <w:rPr>
          <w:i/>
          <w:sz w:val="22"/>
        </w:rPr>
        <w:t xml:space="preserve">if UE </w:t>
      </w:r>
      <w:r w:rsidR="008737EC">
        <w:rPr>
          <w:i/>
          <w:sz w:val="22"/>
        </w:rPr>
        <w:t>implementation allows simultaneous processing</w:t>
      </w:r>
      <w:r w:rsidRPr="00B91B7E">
        <w:rPr>
          <w:i/>
          <w:sz w:val="22"/>
        </w:rPr>
        <w:t>.</w:t>
      </w:r>
    </w:p>
    <w:p w14:paraId="7A26B8E4" w14:textId="77777777" w:rsidR="005B321E" w:rsidRPr="00B91B7E" w:rsidRDefault="005B321E" w:rsidP="005B321E">
      <w:pPr>
        <w:spacing w:after="0"/>
        <w:contextualSpacing/>
        <w:jc w:val="both"/>
      </w:pPr>
    </w:p>
    <w:p w14:paraId="3A9006C7" w14:textId="57F3E9CF" w:rsidR="005B321E" w:rsidRPr="00B91B7E" w:rsidRDefault="005B321E" w:rsidP="005B321E">
      <w:pPr>
        <w:spacing w:after="0"/>
        <w:contextualSpacing/>
        <w:jc w:val="both"/>
        <w:rPr>
          <w:bCs/>
          <w:i/>
          <w:sz w:val="22"/>
        </w:rPr>
      </w:pPr>
      <w:r w:rsidRPr="00B91B7E">
        <w:rPr>
          <w:b/>
          <w:i/>
          <w:sz w:val="22"/>
        </w:rPr>
        <w:t xml:space="preserve">Proposal </w:t>
      </w:r>
      <w:r w:rsidR="004B275B">
        <w:rPr>
          <w:b/>
          <w:i/>
          <w:sz w:val="22"/>
        </w:rPr>
        <w:t>2</w:t>
      </w:r>
      <w:r w:rsidRPr="00B91B7E">
        <w:rPr>
          <w:b/>
          <w:i/>
          <w:sz w:val="22"/>
        </w:rPr>
        <w:t>:</w:t>
      </w:r>
      <w:r w:rsidRPr="00B91B7E">
        <w:rPr>
          <w:bCs/>
          <w:i/>
          <w:sz w:val="22"/>
        </w:rPr>
        <w:t xml:space="preserve"> </w:t>
      </w:r>
      <w:r w:rsidR="00161F89">
        <w:rPr>
          <w:bCs/>
          <w:i/>
          <w:sz w:val="22"/>
        </w:rPr>
        <w:t>For separate UL beam indication, utilization of the existing UL DCI formats 0_1 and 0_2 is preferred.</w:t>
      </w:r>
    </w:p>
    <w:p w14:paraId="62DFD3B9" w14:textId="77777777" w:rsidR="003975E6" w:rsidRPr="0010088C" w:rsidRDefault="003975E6" w:rsidP="00006D5B">
      <w:pPr>
        <w:pStyle w:val="BodyText"/>
        <w:spacing w:after="60"/>
        <w:ind w:firstLine="288"/>
        <w:rPr>
          <w:rFonts w:ascii="Times New Roman" w:hAnsi="Times New Roman"/>
          <w:sz w:val="22"/>
          <w:szCs w:val="22"/>
        </w:rPr>
      </w:pPr>
    </w:p>
    <w:p w14:paraId="2CB75154" w14:textId="6C47F3C0" w:rsidR="001E4082" w:rsidRPr="00B91B7E" w:rsidRDefault="001E4082" w:rsidP="00006D5B">
      <w:pPr>
        <w:pStyle w:val="BodyText"/>
        <w:spacing w:afterLines="60" w:after="144"/>
        <w:rPr>
          <w:rFonts w:ascii="Times New Roman" w:eastAsiaTheme="minorEastAsia" w:hAnsi="Times New Roman"/>
          <w:b/>
          <w:bCs/>
          <w:sz w:val="22"/>
          <w:szCs w:val="22"/>
          <w:u w:val="single"/>
          <w:lang w:eastAsia="zh-CN"/>
        </w:rPr>
      </w:pPr>
      <w:r w:rsidRPr="00B91B7E">
        <w:rPr>
          <w:rFonts w:ascii="Times New Roman" w:eastAsiaTheme="minorEastAsia" w:hAnsi="Times New Roman"/>
          <w:b/>
          <w:bCs/>
          <w:sz w:val="22"/>
          <w:szCs w:val="22"/>
          <w:u w:val="single"/>
          <w:lang w:eastAsia="zh-CN"/>
        </w:rPr>
        <w:t xml:space="preserve">Beam failure recovery </w:t>
      </w:r>
    </w:p>
    <w:p w14:paraId="63AC8155" w14:textId="404C5686" w:rsidR="003975E6" w:rsidRPr="00B91B7E" w:rsidRDefault="003975E6" w:rsidP="00006D5B">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Given that beam failure recovery is an essential procedure which provides reliability and enables standalone operation of FR2, enhancement of beam failure recovery should be an important part of inter-cell </w:t>
      </w:r>
      <w:r w:rsidR="00330B79">
        <w:rPr>
          <w:rFonts w:ascii="Times New Roman" w:hAnsi="Times New Roman"/>
          <w:sz w:val="22"/>
          <w:szCs w:val="22"/>
        </w:rPr>
        <w:t>beam management</w:t>
      </w:r>
      <w:r w:rsidRPr="00B91B7E">
        <w:rPr>
          <w:rFonts w:ascii="Times New Roman" w:hAnsi="Times New Roman"/>
          <w:sz w:val="22"/>
          <w:szCs w:val="22"/>
        </w:rPr>
        <w:t xml:space="preserve">. For the enhancement, monitoring, candidate beam selection and reporting for other cells </w:t>
      </w:r>
      <w:r w:rsidR="008909C3">
        <w:rPr>
          <w:rFonts w:ascii="Times New Roman" w:hAnsi="Times New Roman"/>
          <w:sz w:val="22"/>
          <w:szCs w:val="22"/>
        </w:rPr>
        <w:t>without engaging serving-cell changes</w:t>
      </w:r>
      <w:r w:rsidR="008909C3" w:rsidRPr="00B91B7E">
        <w:rPr>
          <w:rFonts w:ascii="Times New Roman" w:hAnsi="Times New Roman"/>
          <w:sz w:val="22"/>
          <w:szCs w:val="22"/>
        </w:rPr>
        <w:t xml:space="preserve"> </w:t>
      </w:r>
      <w:r w:rsidRPr="00B91B7E">
        <w:rPr>
          <w:rFonts w:ascii="Times New Roman" w:hAnsi="Times New Roman"/>
          <w:sz w:val="22"/>
          <w:szCs w:val="22"/>
        </w:rPr>
        <w:t>can be considered</w:t>
      </w:r>
      <w:r w:rsidR="008909C3">
        <w:rPr>
          <w:rFonts w:ascii="Times New Roman" w:hAnsi="Times New Roman"/>
          <w:sz w:val="22"/>
          <w:szCs w:val="22"/>
        </w:rPr>
        <w:t xml:space="preserve"> in Rel-17</w:t>
      </w:r>
      <w:r w:rsidRPr="00B91B7E">
        <w:rPr>
          <w:rFonts w:ascii="Times New Roman" w:hAnsi="Times New Roman"/>
          <w:sz w:val="22"/>
          <w:szCs w:val="22"/>
        </w:rPr>
        <w:t>.</w:t>
      </w:r>
      <w:r w:rsidR="004965CE" w:rsidRPr="00B91B7E">
        <w:rPr>
          <w:rFonts w:ascii="Times New Roman" w:hAnsi="Times New Roman"/>
          <w:sz w:val="22"/>
          <w:szCs w:val="22"/>
        </w:rPr>
        <w:t xml:space="preserve"> For example, a</w:t>
      </w:r>
      <w:r w:rsidRPr="00B91B7E">
        <w:rPr>
          <w:rFonts w:ascii="Times New Roman" w:hAnsi="Times New Roman"/>
          <w:sz w:val="22"/>
          <w:szCs w:val="22"/>
        </w:rPr>
        <w:t xml:space="preserve">s number of cells to be monitored, </w:t>
      </w:r>
      <w:proofErr w:type="gramStart"/>
      <w:r w:rsidRPr="00B91B7E">
        <w:rPr>
          <w:rFonts w:ascii="Times New Roman" w:hAnsi="Times New Roman"/>
          <w:sz w:val="22"/>
          <w:szCs w:val="22"/>
        </w:rPr>
        <w:t>selected</w:t>
      </w:r>
      <w:proofErr w:type="gramEnd"/>
      <w:r w:rsidRPr="00B91B7E">
        <w:rPr>
          <w:rFonts w:ascii="Times New Roman" w:hAnsi="Times New Roman"/>
          <w:sz w:val="22"/>
          <w:szCs w:val="22"/>
        </w:rPr>
        <w:t xml:space="preserve"> and reported increases, UE implementation complexity and power consumption also increase. In that regard, enhanced operation of beam failure recovery should consider efficient operation with reasonable power consumption. For example, prioritization of beams from serving cells than other cells can be considered.</w:t>
      </w:r>
    </w:p>
    <w:p w14:paraId="1A7E24F8" w14:textId="77777777" w:rsidR="00237816" w:rsidRPr="00B91B7E" w:rsidRDefault="00237816" w:rsidP="00CC3F5C">
      <w:pPr>
        <w:spacing w:after="0"/>
        <w:contextualSpacing/>
        <w:jc w:val="both"/>
        <w:rPr>
          <w:b/>
          <w:i/>
          <w:sz w:val="22"/>
          <w:lang w:val="en-US"/>
        </w:rPr>
      </w:pPr>
    </w:p>
    <w:p w14:paraId="42FB127C" w14:textId="435D85C3" w:rsidR="00E12DF5" w:rsidRPr="00B91B7E" w:rsidRDefault="00E12DF5" w:rsidP="00CC3F5C">
      <w:pPr>
        <w:spacing w:after="0"/>
        <w:contextualSpacing/>
        <w:jc w:val="both"/>
        <w:rPr>
          <w:i/>
          <w:sz w:val="22"/>
        </w:rPr>
      </w:pPr>
      <w:r w:rsidRPr="00B91B7E">
        <w:rPr>
          <w:b/>
          <w:bCs/>
          <w:i/>
          <w:sz w:val="22"/>
        </w:rPr>
        <w:t>Observation</w:t>
      </w:r>
      <w:r w:rsidR="00D826FE">
        <w:rPr>
          <w:b/>
          <w:bCs/>
          <w:i/>
          <w:sz w:val="22"/>
        </w:rPr>
        <w:t xml:space="preserve"> </w:t>
      </w:r>
      <w:r w:rsidR="004B275B">
        <w:rPr>
          <w:b/>
          <w:bCs/>
          <w:i/>
          <w:sz w:val="22"/>
        </w:rPr>
        <w:t>2</w:t>
      </w:r>
      <w:r w:rsidRPr="00B91B7E">
        <w:rPr>
          <w:b/>
          <w:bCs/>
          <w:i/>
          <w:sz w:val="22"/>
        </w:rPr>
        <w:t>:</w:t>
      </w:r>
      <w:r w:rsidRPr="00B91B7E">
        <w:rPr>
          <w:i/>
          <w:sz w:val="22"/>
        </w:rPr>
        <w:t xml:space="preserve"> Beam failure recovery is an essential procedure which provides reliability and enables standalone operation of FR2</w:t>
      </w:r>
      <w:r w:rsidR="00AC6652" w:rsidRPr="00B91B7E">
        <w:rPr>
          <w:i/>
          <w:sz w:val="22"/>
        </w:rPr>
        <w:t>.</w:t>
      </w:r>
    </w:p>
    <w:p w14:paraId="058BC350" w14:textId="5DD0976C" w:rsidR="00086DA1" w:rsidRPr="00B91B7E" w:rsidRDefault="00086DA1" w:rsidP="00CC3F5C">
      <w:pPr>
        <w:spacing w:after="0"/>
        <w:contextualSpacing/>
        <w:jc w:val="both"/>
        <w:rPr>
          <w:i/>
          <w:sz w:val="22"/>
        </w:rPr>
      </w:pPr>
    </w:p>
    <w:p w14:paraId="16E58B0C" w14:textId="75E16254" w:rsidR="00086DA1" w:rsidRPr="00B91B7E" w:rsidRDefault="00086DA1" w:rsidP="00086DA1">
      <w:pPr>
        <w:spacing w:after="0"/>
        <w:contextualSpacing/>
        <w:jc w:val="both"/>
        <w:rPr>
          <w:i/>
          <w:sz w:val="22"/>
        </w:rPr>
      </w:pPr>
      <w:r w:rsidRPr="00B91B7E">
        <w:rPr>
          <w:b/>
          <w:bCs/>
          <w:i/>
          <w:sz w:val="22"/>
        </w:rPr>
        <w:lastRenderedPageBreak/>
        <w:t xml:space="preserve">Observation </w:t>
      </w:r>
      <w:r w:rsidR="004B275B">
        <w:rPr>
          <w:b/>
          <w:bCs/>
          <w:i/>
          <w:sz w:val="22"/>
        </w:rPr>
        <w:t>3</w:t>
      </w:r>
      <w:r w:rsidRPr="00B91B7E">
        <w:rPr>
          <w:b/>
          <w:bCs/>
          <w:i/>
          <w:sz w:val="22"/>
        </w:rPr>
        <w:t xml:space="preserve">: </w:t>
      </w:r>
      <w:r w:rsidRPr="00B91B7E">
        <w:rPr>
          <w:i/>
          <w:sz w:val="22"/>
        </w:rPr>
        <w:t xml:space="preserve">As number of cells to be monitored, </w:t>
      </w:r>
      <w:proofErr w:type="gramStart"/>
      <w:r w:rsidRPr="00B91B7E">
        <w:rPr>
          <w:i/>
          <w:sz w:val="22"/>
        </w:rPr>
        <w:t>selected</w:t>
      </w:r>
      <w:proofErr w:type="gramEnd"/>
      <w:r w:rsidRPr="00B91B7E">
        <w:rPr>
          <w:i/>
          <w:sz w:val="22"/>
        </w:rPr>
        <w:t xml:space="preserve"> and reported increases, UE implementation complexity and power consumption also increase.</w:t>
      </w:r>
    </w:p>
    <w:p w14:paraId="027944EB" w14:textId="01559F00" w:rsidR="00E12DF5" w:rsidRPr="00B91B7E" w:rsidRDefault="00E12DF5" w:rsidP="00CC3F5C">
      <w:pPr>
        <w:spacing w:after="0"/>
        <w:contextualSpacing/>
        <w:jc w:val="both"/>
        <w:rPr>
          <w:i/>
          <w:sz w:val="22"/>
        </w:rPr>
      </w:pPr>
    </w:p>
    <w:p w14:paraId="6711F57D" w14:textId="62861E35" w:rsidR="00CC3F5C" w:rsidRDefault="00CC3F5C" w:rsidP="00CC3F5C">
      <w:pPr>
        <w:spacing w:after="0"/>
        <w:contextualSpacing/>
        <w:jc w:val="both"/>
        <w:rPr>
          <w:bCs/>
          <w:i/>
          <w:sz w:val="22"/>
        </w:rPr>
      </w:pPr>
      <w:r w:rsidRPr="00B91B7E">
        <w:rPr>
          <w:b/>
          <w:i/>
          <w:sz w:val="22"/>
        </w:rPr>
        <w:t>Proposal</w:t>
      </w:r>
      <w:r w:rsidR="00086DA1" w:rsidRPr="00B91B7E">
        <w:rPr>
          <w:b/>
          <w:i/>
          <w:sz w:val="22"/>
        </w:rPr>
        <w:t xml:space="preserve"> </w:t>
      </w:r>
      <w:r w:rsidR="004B275B">
        <w:rPr>
          <w:b/>
          <w:i/>
          <w:sz w:val="22"/>
        </w:rPr>
        <w:t>3</w:t>
      </w:r>
      <w:r w:rsidRPr="00B91B7E">
        <w:rPr>
          <w:b/>
          <w:i/>
          <w:sz w:val="22"/>
        </w:rPr>
        <w:t>:</w:t>
      </w:r>
      <w:r w:rsidRPr="00B91B7E">
        <w:rPr>
          <w:bCs/>
          <w:i/>
          <w:sz w:val="22"/>
        </w:rPr>
        <w:t xml:space="preserve"> Efficient beam failure recovery operation for inter-cell operation should be supported</w:t>
      </w:r>
      <w:r w:rsidR="00AC6652" w:rsidRPr="00B91B7E">
        <w:rPr>
          <w:bCs/>
          <w:i/>
          <w:sz w:val="22"/>
        </w:rPr>
        <w:t>.</w:t>
      </w:r>
    </w:p>
    <w:p w14:paraId="0A56C59E" w14:textId="77777777" w:rsidR="004B275B" w:rsidRPr="00B91B7E" w:rsidRDefault="004B275B" w:rsidP="00CC3F5C">
      <w:pPr>
        <w:spacing w:after="0"/>
        <w:contextualSpacing/>
        <w:jc w:val="both"/>
        <w:rPr>
          <w:bCs/>
          <w:i/>
          <w:sz w:val="22"/>
        </w:rPr>
      </w:pPr>
    </w:p>
    <w:p w14:paraId="5C6B0218" w14:textId="103C32DB" w:rsidR="00086DA1" w:rsidRPr="00B91B7E" w:rsidRDefault="00086DA1" w:rsidP="00CC3F5C">
      <w:pPr>
        <w:spacing w:after="0"/>
        <w:contextualSpacing/>
        <w:jc w:val="both"/>
        <w:rPr>
          <w:bCs/>
          <w:i/>
          <w:sz w:val="22"/>
        </w:rPr>
      </w:pPr>
    </w:p>
    <w:p w14:paraId="618C7831" w14:textId="0AC49755"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MP-UE assumption to facilitate fast UL panel selection</w:t>
      </w:r>
    </w:p>
    <w:p w14:paraId="497010E2" w14:textId="17A152AB" w:rsidR="008F041F" w:rsidRPr="008F041F" w:rsidRDefault="008F041F" w:rsidP="008F041F">
      <w:pPr>
        <w:pStyle w:val="BodyText"/>
        <w:rPr>
          <w:rFonts w:ascii="Times New Roman" w:hAnsi="Times New Roman"/>
          <w:b/>
          <w:bCs/>
          <w:sz w:val="22"/>
          <w:szCs w:val="22"/>
          <w:u w:val="single"/>
        </w:rPr>
      </w:pPr>
      <w:r w:rsidRPr="008F041F">
        <w:rPr>
          <w:rFonts w:ascii="Times New Roman" w:hAnsi="Times New Roman"/>
          <w:b/>
          <w:bCs/>
          <w:sz w:val="22"/>
          <w:szCs w:val="22"/>
          <w:u w:val="single"/>
        </w:rPr>
        <w:t>CSI reporting for MP-UE assumption</w:t>
      </w:r>
    </w:p>
    <w:p w14:paraId="67833E7E" w14:textId="56AF1396" w:rsidR="000950C2" w:rsidRDefault="005F4A1C" w:rsidP="005F4A1C">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w:t>
      </w:r>
      <w:r w:rsidRPr="000950C2">
        <w:rPr>
          <w:rFonts w:ascii="Times New Roman" w:eastAsiaTheme="minorEastAsia" w:hAnsi="Times New Roman"/>
          <w:sz w:val="22"/>
          <w:szCs w:val="22"/>
          <w:lang w:eastAsia="zh-CN"/>
        </w:rPr>
        <w:t>RAN1#103-e, UE-initiated UL panel selection/activation</w:t>
      </w:r>
      <w:r>
        <w:rPr>
          <w:rFonts w:ascii="Times New Roman" w:eastAsiaTheme="minorEastAsia" w:hAnsi="Times New Roman"/>
          <w:sz w:val="22"/>
          <w:szCs w:val="22"/>
          <w:lang w:eastAsia="zh-CN"/>
        </w:rPr>
        <w:t xml:space="preserve"> was agreed</w:t>
      </w:r>
      <w:r w:rsidR="00330700">
        <w:rPr>
          <w:rFonts w:ascii="Times New Roman" w:eastAsiaTheme="minorEastAsia" w:hAnsi="Times New Roman"/>
          <w:sz w:val="22"/>
          <w:szCs w:val="22"/>
          <w:lang w:eastAsia="zh-CN"/>
        </w:rPr>
        <w:t xml:space="preserve"> to facilitate fast uplink panel selection</w:t>
      </w:r>
      <w:r>
        <w:rPr>
          <w:rFonts w:ascii="Times New Roman" w:eastAsiaTheme="minorEastAsia" w:hAnsi="Times New Roman"/>
          <w:sz w:val="22"/>
          <w:szCs w:val="22"/>
          <w:lang w:eastAsia="zh-CN"/>
        </w:rPr>
        <w:t>.</w:t>
      </w:r>
      <w:r w:rsidR="00993F5A">
        <w:rPr>
          <w:rFonts w:ascii="Times New Roman" w:eastAsiaTheme="minorEastAsia" w:hAnsi="Times New Roman"/>
          <w:sz w:val="22"/>
          <w:szCs w:val="22"/>
          <w:lang w:eastAsia="zh-CN"/>
        </w:rPr>
        <w:t xml:space="preserve"> </w:t>
      </w:r>
      <w:r w:rsidR="000950C2">
        <w:rPr>
          <w:rFonts w:ascii="Times New Roman" w:eastAsiaTheme="minorEastAsia" w:hAnsi="Times New Roman"/>
          <w:sz w:val="22"/>
          <w:szCs w:val="22"/>
          <w:lang w:eastAsia="zh-CN"/>
        </w:rPr>
        <w:t xml:space="preserve">Note, according to the agreements, </w:t>
      </w:r>
      <w:r w:rsidR="000950C2" w:rsidRPr="000950C2">
        <w:rPr>
          <w:rFonts w:ascii="Times New Roman" w:eastAsiaTheme="minorEastAsia" w:hAnsi="Times New Roman"/>
          <w:sz w:val="22"/>
          <w:szCs w:val="22"/>
          <w:lang w:eastAsia="zh-CN"/>
        </w:rPr>
        <w:t>UL Tx panel(s) are assumed to be a same set or subset of DL Rx panel(s)</w:t>
      </w:r>
      <w:r w:rsidR="000950C2">
        <w:rPr>
          <w:rFonts w:ascii="Times New Roman" w:eastAsiaTheme="minorEastAsia" w:hAnsi="Times New Roman"/>
          <w:sz w:val="22"/>
          <w:szCs w:val="22"/>
          <w:lang w:eastAsia="zh-CN"/>
        </w:rPr>
        <w:t xml:space="preserve">, </w:t>
      </w:r>
      <w:r w:rsidR="000950C2" w:rsidRPr="000950C2">
        <w:rPr>
          <w:rFonts w:ascii="Times New Roman" w:eastAsiaTheme="minorEastAsia" w:hAnsi="Times New Roman"/>
          <w:sz w:val="22"/>
          <w:szCs w:val="22"/>
          <w:lang w:eastAsia="zh-CN"/>
        </w:rPr>
        <w:t>to facilitate fast UL panel selection and MPE mitigation</w:t>
      </w:r>
      <w:r w:rsidR="000950C2">
        <w:rPr>
          <w:rFonts w:ascii="Times New Roman" w:eastAsiaTheme="minorEastAsia" w:hAnsi="Times New Roman"/>
          <w:sz w:val="22"/>
          <w:szCs w:val="22"/>
          <w:lang w:eastAsia="zh-CN"/>
        </w:rPr>
        <w:t>.</w:t>
      </w:r>
    </w:p>
    <w:p w14:paraId="7CD6DB2E" w14:textId="3A4B0479" w:rsidR="005F4A1C" w:rsidRDefault="00993F5A" w:rsidP="005F4A1C">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UE initiated UL panel selection/activation, CSI reporting can be a good method to indicate UE’s selection on UL panel to gNB. </w:t>
      </w:r>
      <w:r w:rsidR="007C4CB7">
        <w:rPr>
          <w:rFonts w:ascii="Times New Roman" w:eastAsiaTheme="minorEastAsia" w:hAnsi="Times New Roman"/>
          <w:sz w:val="22"/>
          <w:szCs w:val="22"/>
          <w:lang w:eastAsia="zh-CN"/>
        </w:rPr>
        <w:t xml:space="preserve">One possible </w:t>
      </w:r>
      <w:r w:rsidR="009729BB">
        <w:rPr>
          <w:rFonts w:ascii="Times New Roman" w:eastAsiaTheme="minorEastAsia" w:hAnsi="Times New Roman"/>
          <w:sz w:val="22"/>
          <w:szCs w:val="22"/>
          <w:lang w:eastAsia="zh-CN"/>
        </w:rPr>
        <w:t>enhancement with simple specification impact</w:t>
      </w:r>
      <w:r w:rsidR="007C4CB7">
        <w:rPr>
          <w:rFonts w:ascii="Times New Roman" w:eastAsiaTheme="minorEastAsia" w:hAnsi="Times New Roman"/>
          <w:sz w:val="22"/>
          <w:szCs w:val="22"/>
          <w:lang w:eastAsia="zh-CN"/>
        </w:rPr>
        <w:t xml:space="preserve"> would be introducing </w:t>
      </w:r>
      <w:r w:rsidR="00997253">
        <w:rPr>
          <w:rFonts w:ascii="Times New Roman" w:eastAsiaTheme="minorEastAsia" w:hAnsi="Times New Roman"/>
          <w:sz w:val="22"/>
          <w:szCs w:val="22"/>
          <w:lang w:eastAsia="zh-CN"/>
        </w:rPr>
        <w:t xml:space="preserve">a </w:t>
      </w:r>
      <w:r w:rsidR="007C4CB7">
        <w:rPr>
          <w:rFonts w:ascii="Times New Roman" w:eastAsiaTheme="minorEastAsia" w:hAnsi="Times New Roman"/>
          <w:sz w:val="22"/>
          <w:szCs w:val="22"/>
          <w:lang w:eastAsia="zh-CN"/>
        </w:rPr>
        <w:t xml:space="preserve">panel ID in a CSI-RS resource. </w:t>
      </w:r>
      <w:r w:rsidR="009729BB">
        <w:rPr>
          <w:rFonts w:ascii="Times New Roman" w:eastAsiaTheme="minorEastAsia" w:hAnsi="Times New Roman"/>
          <w:sz w:val="22"/>
          <w:szCs w:val="22"/>
          <w:lang w:eastAsia="zh-CN"/>
        </w:rPr>
        <w:t>For example, based on the panel ID, UE can report its panel selection/activation to gNB by</w:t>
      </w:r>
      <w:r w:rsidR="00A52023">
        <w:rPr>
          <w:rFonts w:ascii="Times New Roman" w:eastAsiaTheme="minorEastAsia" w:hAnsi="Times New Roman"/>
          <w:sz w:val="22"/>
          <w:szCs w:val="22"/>
          <w:lang w:eastAsia="zh-CN"/>
        </w:rPr>
        <w:t xml:space="preserve"> reporting CRI and gNB can identify UE’s decision by determining associated panel ID with reported CRI. </w:t>
      </w:r>
    </w:p>
    <w:p w14:paraId="5141AB8F" w14:textId="1F598300" w:rsidR="00993F5A" w:rsidRDefault="00993F5A" w:rsidP="00993F5A">
      <w:pPr>
        <w:pStyle w:val="BodyText"/>
        <w:spacing w:after="60"/>
        <w:ind w:firstLine="288"/>
        <w:rPr>
          <w:rFonts w:ascii="Times New Roman" w:hAnsi="Times New Roman"/>
          <w:sz w:val="22"/>
          <w:szCs w:val="22"/>
          <w:highlight w:val="yellow"/>
        </w:rPr>
      </w:pPr>
    </w:p>
    <w:p w14:paraId="353A1326" w14:textId="4E41D475" w:rsidR="00454F01" w:rsidRPr="00B91B7E" w:rsidRDefault="00454F01" w:rsidP="00454F01">
      <w:pPr>
        <w:spacing w:after="0"/>
        <w:contextualSpacing/>
        <w:jc w:val="both"/>
        <w:rPr>
          <w:i/>
          <w:sz w:val="22"/>
        </w:rPr>
      </w:pPr>
      <w:r w:rsidRPr="00B91B7E">
        <w:rPr>
          <w:b/>
          <w:bCs/>
          <w:i/>
          <w:sz w:val="22"/>
        </w:rPr>
        <w:t xml:space="preserve">Observation </w:t>
      </w:r>
      <w:r w:rsidR="004B275B">
        <w:rPr>
          <w:b/>
          <w:bCs/>
          <w:i/>
          <w:sz w:val="22"/>
        </w:rPr>
        <w:t>4</w:t>
      </w:r>
      <w:r w:rsidRPr="00B91B7E">
        <w:rPr>
          <w:b/>
          <w:bCs/>
          <w:i/>
          <w:sz w:val="22"/>
        </w:rPr>
        <w:t xml:space="preserve">: </w:t>
      </w:r>
      <w:r w:rsidR="008F041F">
        <w:rPr>
          <w:i/>
          <w:sz w:val="22"/>
        </w:rPr>
        <w:t>CSI reporting can be a good method to indicate UE’s panel selection</w:t>
      </w:r>
      <w:r w:rsidR="00117514">
        <w:rPr>
          <w:i/>
          <w:sz w:val="22"/>
        </w:rPr>
        <w:t>/activation</w:t>
      </w:r>
      <w:r w:rsidR="008F041F">
        <w:rPr>
          <w:i/>
          <w:sz w:val="22"/>
        </w:rPr>
        <w:t xml:space="preserve"> with simple specification impact</w:t>
      </w:r>
      <w:r w:rsidRPr="00B91B7E">
        <w:rPr>
          <w:i/>
          <w:sz w:val="22"/>
        </w:rPr>
        <w:t>.</w:t>
      </w:r>
      <w:r w:rsidR="00BC11A7">
        <w:rPr>
          <w:i/>
          <w:sz w:val="22"/>
        </w:rPr>
        <w:t xml:space="preserve"> </w:t>
      </w:r>
    </w:p>
    <w:p w14:paraId="0FFD665C" w14:textId="77777777" w:rsidR="00454F01" w:rsidRPr="00B91B7E" w:rsidRDefault="00454F01" w:rsidP="00454F01">
      <w:pPr>
        <w:spacing w:after="0"/>
        <w:contextualSpacing/>
        <w:jc w:val="both"/>
        <w:rPr>
          <w:i/>
          <w:sz w:val="22"/>
        </w:rPr>
      </w:pPr>
    </w:p>
    <w:p w14:paraId="074C8AD4" w14:textId="4E807A59" w:rsidR="00454F01" w:rsidRPr="00B91B7E" w:rsidRDefault="00454F01" w:rsidP="00454F01">
      <w:pPr>
        <w:spacing w:after="0"/>
        <w:contextualSpacing/>
        <w:jc w:val="both"/>
        <w:rPr>
          <w:bCs/>
          <w:i/>
          <w:sz w:val="22"/>
        </w:rPr>
      </w:pPr>
      <w:r w:rsidRPr="00B91B7E">
        <w:rPr>
          <w:b/>
          <w:i/>
          <w:sz w:val="22"/>
        </w:rPr>
        <w:t xml:space="preserve">Proposal </w:t>
      </w:r>
      <w:r w:rsidR="004B275B">
        <w:rPr>
          <w:b/>
          <w:i/>
          <w:sz w:val="22"/>
        </w:rPr>
        <w:t>4</w:t>
      </w:r>
      <w:r w:rsidRPr="00B91B7E">
        <w:rPr>
          <w:b/>
          <w:i/>
          <w:sz w:val="22"/>
        </w:rPr>
        <w:t>:</w:t>
      </w:r>
      <w:r w:rsidRPr="00B91B7E">
        <w:rPr>
          <w:bCs/>
          <w:i/>
          <w:sz w:val="22"/>
        </w:rPr>
        <w:t xml:space="preserve"> </w:t>
      </w:r>
      <w:r w:rsidR="008F041F">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1115A683" w14:textId="77777777" w:rsidR="00993F5A" w:rsidRPr="00B91B7E" w:rsidRDefault="00993F5A" w:rsidP="005F4A1C">
      <w:pPr>
        <w:pStyle w:val="BodyText"/>
        <w:spacing w:after="60"/>
        <w:ind w:firstLine="288"/>
        <w:rPr>
          <w:rFonts w:ascii="Times New Roman" w:eastAsiaTheme="minorEastAsia" w:hAnsi="Times New Roman"/>
          <w:sz w:val="22"/>
          <w:szCs w:val="22"/>
          <w:lang w:eastAsia="zh-CN"/>
        </w:rPr>
      </w:pPr>
    </w:p>
    <w:p w14:paraId="38C9DD1C" w14:textId="4063DA5D" w:rsidR="00374802" w:rsidRPr="00130723" w:rsidRDefault="00FC3934" w:rsidP="00374802">
      <w:pPr>
        <w:pStyle w:val="BodyText"/>
        <w:rPr>
          <w:rFonts w:ascii="Times New Roman" w:hAnsi="Times New Roman"/>
          <w:b/>
          <w:bCs/>
          <w:sz w:val="22"/>
          <w:szCs w:val="22"/>
          <w:u w:val="single"/>
        </w:rPr>
      </w:pPr>
      <w:r w:rsidRPr="00130723">
        <w:rPr>
          <w:rFonts w:ascii="Times New Roman" w:hAnsi="Times New Roman"/>
          <w:b/>
          <w:bCs/>
          <w:sz w:val="22"/>
          <w:szCs w:val="22"/>
          <w:u w:val="single"/>
        </w:rPr>
        <w:t>NW-initiated panel selection/activation</w:t>
      </w:r>
    </w:p>
    <w:p w14:paraId="3C1E6F02" w14:textId="4868AAC4" w:rsidR="00130723" w:rsidRDefault="00130723" w:rsidP="00374802">
      <w:pPr>
        <w:pStyle w:val="BodyText"/>
        <w:spacing w:after="60"/>
        <w:ind w:firstLine="288"/>
        <w:rPr>
          <w:rFonts w:ascii="Times New Roman" w:hAnsi="Times New Roman"/>
          <w:sz w:val="22"/>
          <w:szCs w:val="22"/>
        </w:rPr>
      </w:pPr>
      <w:r w:rsidRPr="00130723">
        <w:rPr>
          <w:rFonts w:ascii="Times New Roman" w:hAnsi="Times New Roman"/>
          <w:sz w:val="22"/>
          <w:szCs w:val="22"/>
        </w:rPr>
        <w:t xml:space="preserve">In addition to UE-initiated UL panel selection/activation, </w:t>
      </w:r>
      <w:r w:rsidR="00473EE2">
        <w:rPr>
          <w:rFonts w:ascii="Times New Roman" w:hAnsi="Times New Roman"/>
          <w:sz w:val="22"/>
          <w:szCs w:val="22"/>
        </w:rPr>
        <w:t xml:space="preserve">NW-initiated panel selection/activation can be considered. </w:t>
      </w:r>
      <w:r w:rsidR="003802B0">
        <w:rPr>
          <w:rFonts w:ascii="Times New Roman" w:hAnsi="Times New Roman"/>
          <w:sz w:val="22"/>
          <w:szCs w:val="22"/>
        </w:rPr>
        <w:t xml:space="preserve">While UE </w:t>
      </w:r>
      <w:proofErr w:type="gramStart"/>
      <w:r w:rsidR="003802B0">
        <w:rPr>
          <w:rFonts w:ascii="Times New Roman" w:hAnsi="Times New Roman"/>
          <w:sz w:val="22"/>
          <w:szCs w:val="22"/>
        </w:rPr>
        <w:t>is able to</w:t>
      </w:r>
      <w:proofErr w:type="gramEnd"/>
      <w:r w:rsidR="003802B0">
        <w:rPr>
          <w:rFonts w:ascii="Times New Roman" w:hAnsi="Times New Roman"/>
          <w:sz w:val="22"/>
          <w:szCs w:val="22"/>
        </w:rPr>
        <w:t xml:space="preserve"> identify </w:t>
      </w:r>
      <w:r w:rsidR="00643581">
        <w:rPr>
          <w:rFonts w:ascii="Times New Roman" w:hAnsi="Times New Roman"/>
          <w:sz w:val="22"/>
          <w:szCs w:val="22"/>
        </w:rPr>
        <w:t xml:space="preserve">UE-side information </w:t>
      </w:r>
      <w:r w:rsidR="003802B0">
        <w:rPr>
          <w:rFonts w:ascii="Times New Roman" w:hAnsi="Times New Roman"/>
          <w:sz w:val="22"/>
          <w:szCs w:val="22"/>
        </w:rPr>
        <w:t xml:space="preserve">e.g., remaining battery power, MPE and interference from other UEs and gNB, gNB is able to identify </w:t>
      </w:r>
      <w:r w:rsidR="00643581">
        <w:rPr>
          <w:rFonts w:ascii="Times New Roman" w:hAnsi="Times New Roman"/>
          <w:sz w:val="22"/>
          <w:szCs w:val="22"/>
        </w:rPr>
        <w:t>network-side information</w:t>
      </w:r>
      <w:r w:rsidR="00403982">
        <w:rPr>
          <w:rFonts w:ascii="Times New Roman" w:hAnsi="Times New Roman"/>
          <w:sz w:val="22"/>
          <w:szCs w:val="22"/>
        </w:rPr>
        <w:t xml:space="preserve"> e.g., scheduling information and traffic. </w:t>
      </w:r>
      <w:r w:rsidR="00402407">
        <w:rPr>
          <w:rFonts w:ascii="Times New Roman" w:hAnsi="Times New Roman"/>
          <w:sz w:val="22"/>
          <w:szCs w:val="22"/>
        </w:rPr>
        <w:t xml:space="preserve">In that regard, NW-initiated panel selection/activation can be beneficial as well as UE determination. </w:t>
      </w:r>
      <w:r w:rsidR="00D03940">
        <w:rPr>
          <w:rFonts w:ascii="Times New Roman" w:hAnsi="Times New Roman"/>
          <w:sz w:val="22"/>
          <w:szCs w:val="22"/>
        </w:rPr>
        <w:t xml:space="preserve">For example, </w:t>
      </w:r>
      <w:r w:rsidR="00CB0067">
        <w:rPr>
          <w:rFonts w:ascii="Times New Roman" w:hAnsi="Times New Roman"/>
          <w:sz w:val="22"/>
          <w:szCs w:val="22"/>
        </w:rPr>
        <w:t xml:space="preserve">a panel ID can be introduced in a TCI state for joint beam indication and separate UL beam indication. </w:t>
      </w:r>
    </w:p>
    <w:p w14:paraId="574A25C3" w14:textId="744F0BED" w:rsidR="00513B39" w:rsidRDefault="00513B39" w:rsidP="00513B39">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 list of UE capability value sets can also be supported as a part of UE reporting, where each UE capability value set can at least include the number of SRS ports and a coherence type, which corresponds to a UE panel. Each reported coherence type can also be used for subsequent SRS transmission behaviors. For example, when multiple UE capability value sets are reported and multiple UE panels are activated, a group of SRS ports which corresponds to a coherent type, associated with a UE capability value set, can be transmitted simultaneously at an SRS transmission occasion, </w:t>
      </w:r>
      <w:r w:rsidR="00172A51">
        <w:rPr>
          <w:rFonts w:ascii="Times New Roman" w:eastAsiaTheme="minorEastAsia" w:hAnsi="Times New Roman"/>
          <w:sz w:val="22"/>
          <w:szCs w:val="22"/>
          <w:lang w:eastAsia="zh-CN"/>
        </w:rPr>
        <w:t>according to NW-indication or based on DL measurement over a UE panel corresponding to the coherent type</w:t>
      </w:r>
      <w:r>
        <w:rPr>
          <w:rFonts w:ascii="Times New Roman" w:eastAsiaTheme="minorEastAsia" w:hAnsi="Times New Roman"/>
          <w:sz w:val="22"/>
          <w:szCs w:val="22"/>
          <w:lang w:eastAsia="zh-CN"/>
        </w:rPr>
        <w:t>.</w:t>
      </w:r>
    </w:p>
    <w:p w14:paraId="375A4BE9" w14:textId="77777777" w:rsidR="002C25EA" w:rsidRPr="00942CDF" w:rsidRDefault="002C25EA" w:rsidP="00374802">
      <w:pPr>
        <w:pStyle w:val="BodyText"/>
        <w:spacing w:after="60"/>
        <w:ind w:firstLine="288"/>
        <w:rPr>
          <w:rFonts w:ascii="Times New Roman" w:hAnsi="Times New Roman"/>
          <w:sz w:val="22"/>
          <w:szCs w:val="22"/>
          <w:highlight w:val="yellow"/>
        </w:rPr>
      </w:pPr>
    </w:p>
    <w:p w14:paraId="78103862" w14:textId="31E28D1D" w:rsidR="00374802" w:rsidRPr="00987455" w:rsidRDefault="00374802" w:rsidP="00374802">
      <w:pPr>
        <w:spacing w:after="0"/>
        <w:contextualSpacing/>
        <w:jc w:val="both"/>
        <w:rPr>
          <w:i/>
          <w:sz w:val="22"/>
        </w:rPr>
      </w:pPr>
      <w:r w:rsidRPr="00987455">
        <w:rPr>
          <w:b/>
          <w:i/>
          <w:sz w:val="22"/>
        </w:rPr>
        <w:t xml:space="preserve">Observation </w:t>
      </w:r>
      <w:r w:rsidR="004B275B">
        <w:rPr>
          <w:b/>
          <w:i/>
          <w:sz w:val="22"/>
        </w:rPr>
        <w:t>5</w:t>
      </w:r>
      <w:r w:rsidRPr="00987455">
        <w:rPr>
          <w:b/>
          <w:i/>
          <w:sz w:val="22"/>
        </w:rPr>
        <w:t>:</w:t>
      </w:r>
      <w:r w:rsidRPr="00987455">
        <w:rPr>
          <w:i/>
          <w:sz w:val="22"/>
        </w:rPr>
        <w:t xml:space="preserve"> </w:t>
      </w:r>
      <w:r w:rsidR="00643581" w:rsidRPr="00987455">
        <w:rPr>
          <w:i/>
          <w:sz w:val="22"/>
        </w:rPr>
        <w:t xml:space="preserve">While UE is able to identify </w:t>
      </w:r>
      <w:r w:rsidR="00C74EB4" w:rsidRPr="00987455">
        <w:rPr>
          <w:i/>
          <w:sz w:val="22"/>
        </w:rPr>
        <w:t>UE-side information for panel determination</w:t>
      </w:r>
      <w:r w:rsidR="00643581" w:rsidRPr="00987455">
        <w:rPr>
          <w:i/>
          <w:sz w:val="22"/>
        </w:rPr>
        <w:t xml:space="preserve">, gNB is able to identify </w:t>
      </w:r>
      <w:r w:rsidR="001D2E5B" w:rsidRPr="00987455">
        <w:rPr>
          <w:i/>
          <w:sz w:val="22"/>
        </w:rPr>
        <w:t xml:space="preserve">gNB-side information for panel determination. </w:t>
      </w:r>
    </w:p>
    <w:p w14:paraId="214FF2FA" w14:textId="77777777" w:rsidR="00374802" w:rsidRPr="00987455" w:rsidRDefault="00374802" w:rsidP="00374802">
      <w:pPr>
        <w:spacing w:after="0"/>
        <w:contextualSpacing/>
        <w:jc w:val="both"/>
        <w:rPr>
          <w:b/>
          <w:i/>
          <w:sz w:val="22"/>
        </w:rPr>
      </w:pPr>
    </w:p>
    <w:p w14:paraId="13291F8A" w14:textId="5B4C50C6" w:rsidR="00374802" w:rsidRPr="00987455" w:rsidRDefault="00374802" w:rsidP="00374802">
      <w:pPr>
        <w:spacing w:after="0"/>
        <w:contextualSpacing/>
        <w:jc w:val="both"/>
        <w:rPr>
          <w:bCs/>
          <w:i/>
          <w:sz w:val="22"/>
        </w:rPr>
      </w:pPr>
      <w:r w:rsidRPr="00987455">
        <w:rPr>
          <w:b/>
          <w:i/>
          <w:sz w:val="22"/>
        </w:rPr>
        <w:t xml:space="preserve">Proposal </w:t>
      </w:r>
      <w:r w:rsidR="004B275B">
        <w:rPr>
          <w:b/>
          <w:i/>
          <w:sz w:val="22"/>
        </w:rPr>
        <w:t>5</w:t>
      </w:r>
      <w:r w:rsidRPr="00987455">
        <w:rPr>
          <w:b/>
          <w:i/>
          <w:sz w:val="22"/>
        </w:rPr>
        <w:t xml:space="preserve">: </w:t>
      </w:r>
      <w:r w:rsidR="001D2E5B" w:rsidRPr="00987455">
        <w:rPr>
          <w:bCs/>
          <w:i/>
          <w:sz w:val="22"/>
        </w:rPr>
        <w:t>Introduce NW-initiated panel selection/activation in addition to UE-initiated panel selection/activation</w:t>
      </w:r>
      <w:r w:rsidRPr="00987455">
        <w:rPr>
          <w:bCs/>
          <w:i/>
          <w:sz w:val="22"/>
        </w:rPr>
        <w:t>.</w:t>
      </w:r>
    </w:p>
    <w:p w14:paraId="5FA3C81B" w14:textId="02260F11" w:rsidR="004B275B" w:rsidRDefault="004B275B" w:rsidP="00374802">
      <w:pPr>
        <w:spacing w:after="0"/>
        <w:contextualSpacing/>
        <w:jc w:val="both"/>
        <w:rPr>
          <w:bCs/>
          <w:i/>
          <w:sz w:val="22"/>
          <w:highlight w:val="yellow"/>
        </w:rPr>
      </w:pPr>
    </w:p>
    <w:p w14:paraId="091CA1B9" w14:textId="77777777" w:rsidR="00172A51" w:rsidRPr="00942CDF" w:rsidRDefault="00172A51" w:rsidP="00374802">
      <w:pPr>
        <w:spacing w:after="0"/>
        <w:contextualSpacing/>
        <w:jc w:val="both"/>
        <w:rPr>
          <w:bCs/>
          <w:i/>
          <w:sz w:val="22"/>
          <w:highlight w:val="yellow"/>
        </w:rPr>
      </w:pPr>
    </w:p>
    <w:p w14:paraId="653736B9" w14:textId="72F9918F"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MPE mitigation</w:t>
      </w:r>
    </w:p>
    <w:p w14:paraId="1297020C" w14:textId="1C7CE4AE" w:rsidR="006D5067" w:rsidRDefault="006D5067" w:rsidP="006D5067">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UE reporting for MPE mitigation</w:t>
      </w:r>
    </w:p>
    <w:p w14:paraId="61EC8FBA" w14:textId="746A7F99" w:rsidR="001E1CE8" w:rsidRDefault="00E87343" w:rsidP="008159AF">
      <w:pPr>
        <w:overflowPunct/>
        <w:autoSpaceDE/>
        <w:autoSpaceDN/>
        <w:adjustRightInd/>
        <w:snapToGrid w:val="0"/>
        <w:spacing w:after="0"/>
        <w:ind w:firstLine="288"/>
        <w:contextualSpacing/>
        <w:jc w:val="both"/>
        <w:textAlignment w:val="auto"/>
        <w:rPr>
          <w:sz w:val="22"/>
          <w:lang w:val="en-US" w:eastAsia="x-none"/>
        </w:rPr>
      </w:pPr>
      <w:r>
        <w:rPr>
          <w:sz w:val="22"/>
          <w:lang w:val="en-US" w:eastAsia="x-none"/>
        </w:rPr>
        <w:t>In RAN1#10</w:t>
      </w:r>
      <w:r w:rsidR="004B275B">
        <w:rPr>
          <w:sz w:val="22"/>
          <w:lang w:val="en-US" w:eastAsia="x-none"/>
        </w:rPr>
        <w:t>6b</w:t>
      </w:r>
      <w:r>
        <w:rPr>
          <w:sz w:val="22"/>
          <w:lang w:val="en-US" w:eastAsia="x-none"/>
        </w:rPr>
        <w:t xml:space="preserve">-e, reporting on P-MPR </w:t>
      </w:r>
      <w:r w:rsidR="00060599">
        <w:rPr>
          <w:sz w:val="22"/>
          <w:lang w:val="en-US" w:eastAsia="x-none"/>
        </w:rPr>
        <w:t xml:space="preserve">based on Rel.16 framework </w:t>
      </w:r>
      <w:r>
        <w:rPr>
          <w:sz w:val="22"/>
          <w:lang w:val="en-US" w:eastAsia="x-none"/>
        </w:rPr>
        <w:t xml:space="preserve">and SSBRI(s)/CRI(s) was agreed. </w:t>
      </w:r>
      <w:r w:rsidR="001E1CE8">
        <w:rPr>
          <w:sz w:val="22"/>
          <w:lang w:val="en-US" w:eastAsia="x-none"/>
        </w:rPr>
        <w:t xml:space="preserve">In addition, down selection between beam-level and panel-select reporting should be further discussed. Panel-select reporting </w:t>
      </w:r>
      <w:r w:rsidR="001E1CE8">
        <w:rPr>
          <w:sz w:val="22"/>
          <w:lang w:val="en-US" w:eastAsia="x-none"/>
        </w:rPr>
        <w:lastRenderedPageBreak/>
        <w:t xml:space="preserve">only reports P-MPR associated with a panel. Therefore, if gNB requires additional beam measurement information associated with the panel, additional procedures and latency are required to trigger associated RS transmissions and reports. However, if beam-level reporting is supported with association between beam and panel, beam-level reporting enables to report both P-MPR associated with a panel as well as preferred beam information in the reported panel. The association can be achieved by supporting simple specification enhancements. For example, </w:t>
      </w:r>
      <w:r w:rsidR="00AB7A30">
        <w:rPr>
          <w:sz w:val="22"/>
          <w:lang w:val="en-US" w:eastAsia="x-none"/>
        </w:rPr>
        <w:t xml:space="preserve">a TCI state group ID can be configured in a TCI </w:t>
      </w:r>
      <w:proofErr w:type="gramStart"/>
      <w:r w:rsidR="00AB7A30">
        <w:rPr>
          <w:sz w:val="22"/>
          <w:lang w:val="en-US" w:eastAsia="x-none"/>
        </w:rPr>
        <w:t>state</w:t>
      </w:r>
      <w:proofErr w:type="gramEnd"/>
      <w:r w:rsidR="00AB7A30">
        <w:rPr>
          <w:sz w:val="22"/>
          <w:lang w:val="en-US" w:eastAsia="x-none"/>
        </w:rPr>
        <w:t xml:space="preserve"> or a panel ID can be configured in a CSI-RS configuration. </w:t>
      </w:r>
    </w:p>
    <w:p w14:paraId="152C3211" w14:textId="77777777" w:rsidR="00FC5AB2" w:rsidRPr="00B91B7E" w:rsidRDefault="00FC5AB2" w:rsidP="00FC5AB2">
      <w:pPr>
        <w:overflowPunct/>
        <w:autoSpaceDE/>
        <w:autoSpaceDN/>
        <w:adjustRightInd/>
        <w:snapToGrid w:val="0"/>
        <w:spacing w:after="0"/>
        <w:contextualSpacing/>
        <w:textAlignment w:val="auto"/>
        <w:rPr>
          <w:sz w:val="22"/>
          <w:lang w:val="en-US" w:eastAsia="x-none"/>
        </w:rPr>
      </w:pPr>
    </w:p>
    <w:p w14:paraId="5B896E12" w14:textId="19C3A176" w:rsidR="00FC5AB2" w:rsidRPr="00B91B7E" w:rsidRDefault="00FC5AB2" w:rsidP="00FC5AB2">
      <w:pPr>
        <w:spacing w:after="0"/>
        <w:contextualSpacing/>
        <w:jc w:val="both"/>
        <w:rPr>
          <w:i/>
          <w:sz w:val="22"/>
        </w:rPr>
      </w:pPr>
      <w:r w:rsidRPr="00B91B7E">
        <w:rPr>
          <w:b/>
          <w:i/>
          <w:sz w:val="22"/>
        </w:rPr>
        <w:t xml:space="preserve">Observation </w:t>
      </w:r>
      <w:r w:rsidR="004B275B">
        <w:rPr>
          <w:b/>
          <w:i/>
          <w:sz w:val="22"/>
        </w:rPr>
        <w:t>6</w:t>
      </w:r>
      <w:r w:rsidRPr="00B91B7E">
        <w:rPr>
          <w:b/>
          <w:i/>
          <w:sz w:val="22"/>
        </w:rPr>
        <w:t>:</w:t>
      </w:r>
      <w:r w:rsidRPr="00B91B7E">
        <w:rPr>
          <w:i/>
          <w:sz w:val="22"/>
        </w:rPr>
        <w:t xml:space="preserve"> </w:t>
      </w:r>
      <w:r w:rsidR="00AB7A30">
        <w:rPr>
          <w:i/>
          <w:sz w:val="22"/>
        </w:rPr>
        <w:t>Beam-level reporting provides both panel and beam related information while panel-select reporting only provides information on a specific panel</w:t>
      </w:r>
      <w:proofErr w:type="gramStart"/>
      <w:r w:rsidR="00AB7A30">
        <w:rPr>
          <w:i/>
          <w:sz w:val="22"/>
        </w:rPr>
        <w:t xml:space="preserve">. </w:t>
      </w:r>
      <w:r w:rsidRPr="00B91B7E">
        <w:rPr>
          <w:i/>
          <w:sz w:val="22"/>
        </w:rPr>
        <w:t xml:space="preserve"> </w:t>
      </w:r>
      <w:proofErr w:type="gramEnd"/>
    </w:p>
    <w:p w14:paraId="425095B6" w14:textId="77777777" w:rsidR="00FC5AB2" w:rsidRPr="00B91B7E" w:rsidRDefault="00FC5AB2" w:rsidP="00FC5AB2">
      <w:pPr>
        <w:spacing w:after="0"/>
        <w:contextualSpacing/>
        <w:jc w:val="both"/>
        <w:rPr>
          <w:b/>
          <w:i/>
          <w:sz w:val="22"/>
        </w:rPr>
      </w:pPr>
    </w:p>
    <w:p w14:paraId="288C338C" w14:textId="0115E411" w:rsidR="00FC5AB2" w:rsidRPr="00B91B7E" w:rsidRDefault="00FC5AB2" w:rsidP="00FC5AB2">
      <w:pPr>
        <w:spacing w:after="0"/>
        <w:contextualSpacing/>
        <w:jc w:val="both"/>
        <w:rPr>
          <w:bCs/>
          <w:i/>
          <w:sz w:val="22"/>
        </w:rPr>
      </w:pPr>
      <w:r w:rsidRPr="00B91B7E">
        <w:rPr>
          <w:b/>
          <w:i/>
          <w:sz w:val="22"/>
        </w:rPr>
        <w:t xml:space="preserve">Proposal </w:t>
      </w:r>
      <w:r w:rsidR="00921E04">
        <w:rPr>
          <w:b/>
          <w:i/>
          <w:sz w:val="22"/>
        </w:rPr>
        <w:t>6</w:t>
      </w:r>
      <w:r w:rsidRPr="00B91B7E">
        <w:rPr>
          <w:b/>
          <w:i/>
          <w:sz w:val="22"/>
        </w:rPr>
        <w:t xml:space="preserve">: </w:t>
      </w:r>
      <w:r w:rsidR="00F468C9">
        <w:rPr>
          <w:bCs/>
          <w:i/>
          <w:sz w:val="22"/>
        </w:rPr>
        <w:t xml:space="preserve">Introduce </w:t>
      </w:r>
      <w:r w:rsidR="00AB7A30">
        <w:rPr>
          <w:bCs/>
          <w:i/>
          <w:sz w:val="22"/>
        </w:rPr>
        <w:t xml:space="preserve">reporting of </w:t>
      </w:r>
      <w:r w:rsidR="00F468C9">
        <w:rPr>
          <w:bCs/>
          <w:i/>
          <w:sz w:val="22"/>
        </w:rPr>
        <w:t xml:space="preserve">SSBRI(s)/CRI(s) </w:t>
      </w:r>
      <w:r w:rsidR="00AB7A30">
        <w:rPr>
          <w:bCs/>
          <w:i/>
          <w:sz w:val="22"/>
        </w:rPr>
        <w:t>to indicate gNB beam(s) with an association with a specific panel (e.g., TCI state group ID or panel ID)</w:t>
      </w:r>
      <w:r w:rsidR="000F2775">
        <w:rPr>
          <w:bCs/>
          <w:i/>
          <w:sz w:val="22"/>
        </w:rPr>
        <w:t>.</w:t>
      </w:r>
    </w:p>
    <w:p w14:paraId="430FC0E7" w14:textId="19593822" w:rsidR="00FC5AB2" w:rsidRPr="00921E04" w:rsidRDefault="00FC5AB2" w:rsidP="00135F7B">
      <w:pPr>
        <w:overflowPunct/>
        <w:autoSpaceDE/>
        <w:autoSpaceDN/>
        <w:adjustRightInd/>
        <w:snapToGrid w:val="0"/>
        <w:spacing w:after="0"/>
        <w:contextualSpacing/>
        <w:textAlignment w:val="auto"/>
        <w:rPr>
          <w:b/>
          <w:bCs/>
          <w:sz w:val="22"/>
          <w:u w:val="single"/>
          <w:lang w:eastAsia="x-none"/>
        </w:rPr>
      </w:pPr>
    </w:p>
    <w:p w14:paraId="234F8080" w14:textId="77777777" w:rsidR="001E1CE8" w:rsidRDefault="001E1CE8" w:rsidP="001E1CE8">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TCI state group</w:t>
      </w:r>
    </w:p>
    <w:p w14:paraId="1C46836D" w14:textId="21C9C54E" w:rsidR="001E1CE8" w:rsidRDefault="001E1CE8" w:rsidP="008159AF">
      <w:pPr>
        <w:overflowPunct/>
        <w:autoSpaceDE/>
        <w:autoSpaceDN/>
        <w:adjustRightInd/>
        <w:snapToGrid w:val="0"/>
        <w:spacing w:after="0"/>
        <w:contextualSpacing/>
        <w:jc w:val="both"/>
        <w:textAlignment w:val="auto"/>
        <w:rPr>
          <w:sz w:val="22"/>
          <w:lang w:val="en-US" w:eastAsia="x-none"/>
        </w:rPr>
      </w:pPr>
      <w:r>
        <w:rPr>
          <w:b/>
          <w:bCs/>
          <w:sz w:val="22"/>
          <w:lang w:val="en-US" w:eastAsia="x-none"/>
        </w:rPr>
        <w:tab/>
      </w:r>
      <w:r w:rsidR="00AB7A30">
        <w:rPr>
          <w:sz w:val="22"/>
          <w:lang w:val="en-US" w:eastAsia="x-none"/>
        </w:rPr>
        <w:t xml:space="preserve">Based on the association, more efficient beam indication methods can be considered. As discussed in the above, </w:t>
      </w:r>
      <w:r>
        <w:rPr>
          <w:sz w:val="22"/>
          <w:lang w:val="en-US" w:eastAsia="x-none"/>
        </w:rPr>
        <w:t>support of TCI state group should be considered. For example, as shown in Fig</w:t>
      </w:r>
      <w:r w:rsidR="00AB7A30">
        <w:rPr>
          <w:sz w:val="22"/>
          <w:lang w:val="en-US" w:eastAsia="x-none"/>
        </w:rPr>
        <w:t>ure</w:t>
      </w:r>
      <w:r>
        <w:rPr>
          <w:sz w:val="22"/>
          <w:lang w:val="en-US" w:eastAsia="x-none"/>
        </w:rPr>
        <w:t xml:space="preserve"> </w:t>
      </w:r>
      <w:r w:rsidR="00AB7A30">
        <w:rPr>
          <w:sz w:val="22"/>
          <w:lang w:val="en-US" w:eastAsia="x-none"/>
        </w:rPr>
        <w:t>3</w:t>
      </w:r>
      <w:r>
        <w:rPr>
          <w:sz w:val="22"/>
          <w:lang w:val="en-US" w:eastAsia="x-none"/>
        </w:rPr>
        <w:t xml:space="preserve">, two TCI state groups can be supported and each of the TCI state </w:t>
      </w:r>
      <w:r w:rsidRPr="006F59CD">
        <w:rPr>
          <w:sz w:val="22"/>
          <w:lang w:val="en-US" w:eastAsia="x-none"/>
        </w:rPr>
        <w:t xml:space="preserve">groups are associated with each panel. Based on the configured TCI state groups, gNB can indicate a TCI state group for UE operation. The actual TCI state to be used </w:t>
      </w:r>
      <w:r w:rsidR="00AB7A30" w:rsidRPr="006F59CD">
        <w:rPr>
          <w:sz w:val="22"/>
          <w:lang w:val="en-US" w:eastAsia="x-none"/>
        </w:rPr>
        <w:t>for</w:t>
      </w:r>
      <w:r w:rsidRPr="006F59CD">
        <w:rPr>
          <w:sz w:val="22"/>
          <w:lang w:val="en-US" w:eastAsia="x-none"/>
        </w:rPr>
        <w:t xml:space="preserve"> </w:t>
      </w:r>
      <w:r w:rsidR="00AB7A30" w:rsidRPr="006F59CD">
        <w:rPr>
          <w:sz w:val="22"/>
          <w:lang w:val="en-US" w:eastAsia="x-none"/>
        </w:rPr>
        <w:t>UE operation</w:t>
      </w:r>
      <w:r w:rsidRPr="006F59CD">
        <w:rPr>
          <w:sz w:val="22"/>
          <w:lang w:val="en-US" w:eastAsia="x-none"/>
        </w:rPr>
        <w:t xml:space="preserve"> can be determined </w:t>
      </w:r>
      <w:r w:rsidR="00AB7A30" w:rsidRPr="006F59CD">
        <w:rPr>
          <w:sz w:val="22"/>
          <w:lang w:val="en-US" w:eastAsia="x-none"/>
        </w:rPr>
        <w:t>based on UE reporting for MPE mitigation. For example, a TCI state, associated with reported SSBRI(s)/CRI(s), in the indicated TCI state group can be used.</w:t>
      </w:r>
    </w:p>
    <w:p w14:paraId="582CAA6A" w14:textId="77777777" w:rsidR="001E1CE8" w:rsidRDefault="001E1CE8" w:rsidP="001E1CE8">
      <w:pPr>
        <w:overflowPunct/>
        <w:autoSpaceDE/>
        <w:autoSpaceDN/>
        <w:adjustRightInd/>
        <w:snapToGrid w:val="0"/>
        <w:spacing w:after="0"/>
        <w:contextualSpacing/>
        <w:textAlignment w:val="auto"/>
        <w:rPr>
          <w:sz w:val="22"/>
          <w:lang w:val="en-US" w:eastAsia="x-none"/>
        </w:rPr>
      </w:pPr>
    </w:p>
    <w:p w14:paraId="449278BA" w14:textId="32E6B732" w:rsidR="001E1CE8" w:rsidRPr="001E23A0" w:rsidRDefault="00076C31" w:rsidP="001E1CE8">
      <w:pPr>
        <w:pStyle w:val="Caption"/>
        <w:jc w:val="center"/>
        <w:rPr>
          <w:rFonts w:ascii="Arial" w:hAnsi="Arial" w:cs="Arial"/>
          <w:b w:val="0"/>
          <w:bCs w:val="0"/>
        </w:rPr>
      </w:pPr>
      <w:r>
        <w:rPr>
          <w:rFonts w:ascii="Arial" w:hAnsi="Arial" w:cs="Arial"/>
        </w:rPr>
        <w:t>F</w:t>
      </w:r>
      <w:r w:rsidR="001E1CE8">
        <w:rPr>
          <w:rFonts w:ascii="Arial" w:hAnsi="Arial" w:cs="Arial"/>
        </w:rPr>
        <w:t>igure</w:t>
      </w:r>
      <w:r w:rsidR="001E1CE8" w:rsidRPr="001E23A0">
        <w:rPr>
          <w:rFonts w:ascii="Arial" w:hAnsi="Arial" w:cs="Arial"/>
        </w:rPr>
        <w:t xml:space="preserve"> </w:t>
      </w:r>
      <w:r w:rsidR="001E1CE8">
        <w:rPr>
          <w:rFonts w:ascii="Arial" w:hAnsi="Arial" w:cs="Arial"/>
        </w:rPr>
        <w:t>3</w:t>
      </w:r>
      <w:r w:rsidR="001E1CE8" w:rsidRPr="001E23A0">
        <w:rPr>
          <w:rFonts w:ascii="Arial" w:hAnsi="Arial" w:cs="Arial"/>
        </w:rPr>
        <w:t xml:space="preserve"> </w:t>
      </w:r>
      <w:r w:rsidR="001E1CE8">
        <w:rPr>
          <w:rFonts w:ascii="Arial" w:hAnsi="Arial" w:cs="Arial"/>
          <w:b w:val="0"/>
          <w:bCs w:val="0"/>
        </w:rPr>
        <w:t>Example of two TCI state group configuration</w:t>
      </w:r>
    </w:p>
    <w:p w14:paraId="422E57B4" w14:textId="77777777" w:rsidR="001E1CE8" w:rsidRPr="007C152F" w:rsidRDefault="001E1CE8" w:rsidP="001E1CE8">
      <w:pPr>
        <w:overflowPunct/>
        <w:autoSpaceDE/>
        <w:autoSpaceDN/>
        <w:adjustRightInd/>
        <w:snapToGrid w:val="0"/>
        <w:spacing w:after="0"/>
        <w:contextualSpacing/>
        <w:textAlignment w:val="auto"/>
        <w:rPr>
          <w:sz w:val="22"/>
          <w:lang w:eastAsia="x-none"/>
        </w:rPr>
      </w:pPr>
    </w:p>
    <w:p w14:paraId="06E76FF5" w14:textId="78FFB8CE" w:rsidR="001E1CE8" w:rsidRDefault="00AB7A30" w:rsidP="001E1CE8">
      <w:pPr>
        <w:overflowPunct/>
        <w:autoSpaceDE/>
        <w:autoSpaceDN/>
        <w:adjustRightInd/>
        <w:snapToGrid w:val="0"/>
        <w:spacing w:after="0"/>
        <w:contextualSpacing/>
        <w:jc w:val="center"/>
        <w:textAlignment w:val="auto"/>
        <w:rPr>
          <w:sz w:val="22"/>
          <w:lang w:eastAsia="x-none"/>
        </w:rPr>
      </w:pPr>
      <w:r>
        <w:rPr>
          <w:noProof/>
          <w:sz w:val="22"/>
          <w:lang w:eastAsia="x-none"/>
        </w:rPr>
        <w:drawing>
          <wp:inline distT="0" distB="0" distL="0" distR="0" wp14:anchorId="47D09C86" wp14:editId="0B0508B0">
            <wp:extent cx="4507574" cy="1557665"/>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6019" cy="1570950"/>
                    </a:xfrm>
                    <a:prstGeom prst="rect">
                      <a:avLst/>
                    </a:prstGeom>
                    <a:noFill/>
                  </pic:spPr>
                </pic:pic>
              </a:graphicData>
            </a:graphic>
          </wp:inline>
        </w:drawing>
      </w:r>
    </w:p>
    <w:p w14:paraId="726E4F7A" w14:textId="77777777" w:rsidR="00AB7A30" w:rsidRPr="007C152F" w:rsidRDefault="00AB7A30" w:rsidP="001E1CE8">
      <w:pPr>
        <w:overflowPunct/>
        <w:autoSpaceDE/>
        <w:autoSpaceDN/>
        <w:adjustRightInd/>
        <w:snapToGrid w:val="0"/>
        <w:spacing w:after="0"/>
        <w:contextualSpacing/>
        <w:jc w:val="center"/>
        <w:textAlignment w:val="auto"/>
        <w:rPr>
          <w:sz w:val="22"/>
          <w:lang w:eastAsia="x-none"/>
        </w:rPr>
      </w:pPr>
    </w:p>
    <w:p w14:paraId="6F113D31" w14:textId="53E0F014" w:rsidR="00AB7A30" w:rsidRPr="00B91B7E" w:rsidRDefault="00AB7A30" w:rsidP="00AB7A30">
      <w:pPr>
        <w:spacing w:after="0"/>
        <w:contextualSpacing/>
        <w:jc w:val="both"/>
        <w:rPr>
          <w:bCs/>
          <w:i/>
          <w:sz w:val="22"/>
        </w:rPr>
      </w:pPr>
      <w:r w:rsidRPr="00B91B7E">
        <w:rPr>
          <w:b/>
          <w:i/>
          <w:sz w:val="22"/>
        </w:rPr>
        <w:t xml:space="preserve">Proposal </w:t>
      </w:r>
      <w:r w:rsidR="00921E04">
        <w:rPr>
          <w:b/>
          <w:i/>
          <w:sz w:val="22"/>
        </w:rPr>
        <w:t>7</w:t>
      </w:r>
      <w:r w:rsidRPr="00B91B7E">
        <w:rPr>
          <w:b/>
          <w:i/>
          <w:sz w:val="22"/>
        </w:rPr>
        <w:t xml:space="preserve">: </w:t>
      </w:r>
      <w:r>
        <w:rPr>
          <w:bCs/>
          <w:i/>
          <w:sz w:val="22"/>
        </w:rPr>
        <w:t xml:space="preserve">Introduce a TCI state </w:t>
      </w:r>
      <w:proofErr w:type="gramStart"/>
      <w:r>
        <w:rPr>
          <w:bCs/>
          <w:i/>
          <w:sz w:val="22"/>
        </w:rPr>
        <w:t>group based</w:t>
      </w:r>
      <w:proofErr w:type="gramEnd"/>
      <w:r>
        <w:rPr>
          <w:bCs/>
          <w:i/>
          <w:sz w:val="22"/>
        </w:rPr>
        <w:t xml:space="preserve"> </w:t>
      </w:r>
      <w:r w:rsidR="001C6EDA">
        <w:rPr>
          <w:bCs/>
          <w:i/>
          <w:sz w:val="22"/>
        </w:rPr>
        <w:t>indication and UE-centric determination of a TCI state in the indicated TCI state group</w:t>
      </w:r>
      <w:r w:rsidR="003100A1">
        <w:rPr>
          <w:bCs/>
          <w:i/>
          <w:sz w:val="22"/>
        </w:rPr>
        <w:t>.</w:t>
      </w:r>
    </w:p>
    <w:p w14:paraId="0ECB2B79" w14:textId="77777777" w:rsidR="001E1CE8" w:rsidRPr="00B35C76" w:rsidRDefault="001E1CE8" w:rsidP="00135F7B">
      <w:pPr>
        <w:overflowPunct/>
        <w:autoSpaceDE/>
        <w:autoSpaceDN/>
        <w:adjustRightInd/>
        <w:snapToGrid w:val="0"/>
        <w:spacing w:after="0"/>
        <w:contextualSpacing/>
        <w:textAlignment w:val="auto"/>
        <w:rPr>
          <w:b/>
          <w:bCs/>
          <w:sz w:val="22"/>
          <w:u w:val="single"/>
          <w:lang w:eastAsia="x-none"/>
        </w:rPr>
      </w:pPr>
    </w:p>
    <w:p w14:paraId="03514371" w14:textId="77777777" w:rsidR="00B714B5" w:rsidRPr="00B91B7E" w:rsidRDefault="00B714B5" w:rsidP="00006D5B">
      <w:pPr>
        <w:overflowPunct/>
        <w:autoSpaceDE/>
        <w:autoSpaceDN/>
        <w:adjustRightInd/>
        <w:snapToGrid w:val="0"/>
        <w:spacing w:after="0"/>
        <w:ind w:left="2160"/>
        <w:contextualSpacing/>
        <w:textAlignment w:val="auto"/>
        <w:rPr>
          <w:sz w:val="22"/>
          <w:lang w:val="en-US" w:eastAsia="x-none"/>
        </w:rPr>
      </w:pPr>
    </w:p>
    <w:p w14:paraId="36EA8F41" w14:textId="082D4748" w:rsidR="0003199F" w:rsidRPr="00B91B7E" w:rsidRDefault="00481D77" w:rsidP="00006D5B">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NW confirmation</w:t>
      </w:r>
      <w:r w:rsidR="0003199F" w:rsidRPr="00B91B7E">
        <w:rPr>
          <w:b/>
          <w:bCs/>
          <w:sz w:val="22"/>
          <w:u w:val="single"/>
          <w:lang w:val="en-US" w:eastAsia="x-none"/>
        </w:rPr>
        <w:t xml:space="preserve"> in response to the reported MPE event</w:t>
      </w:r>
    </w:p>
    <w:p w14:paraId="3A58F8B9" w14:textId="43C582E8" w:rsidR="00682737" w:rsidRPr="00B91B7E" w:rsidRDefault="00682737" w:rsidP="004965CE">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When UE-centric determination methods are considered, major concern on the support is </w:t>
      </w:r>
      <w:r w:rsidR="00313E1B" w:rsidRPr="00B91B7E">
        <w:rPr>
          <w:rFonts w:ascii="Times New Roman" w:hAnsi="Times New Roman"/>
          <w:sz w:val="22"/>
          <w:szCs w:val="22"/>
        </w:rPr>
        <w:t xml:space="preserve">a </w:t>
      </w:r>
      <w:r w:rsidRPr="00B91B7E">
        <w:rPr>
          <w:rFonts w:ascii="Times New Roman" w:hAnsi="Times New Roman"/>
          <w:sz w:val="22"/>
          <w:szCs w:val="22"/>
        </w:rPr>
        <w:t xml:space="preserve">mismatch of </w:t>
      </w:r>
      <w:r w:rsidR="006F31A7" w:rsidRPr="00B91B7E">
        <w:rPr>
          <w:rFonts w:ascii="Times New Roman" w:hAnsi="Times New Roman"/>
          <w:sz w:val="22"/>
          <w:szCs w:val="22"/>
        </w:rPr>
        <w:t>bea</w:t>
      </w:r>
      <w:r w:rsidR="00481D77">
        <w:rPr>
          <w:rFonts w:ascii="Times New Roman" w:hAnsi="Times New Roman"/>
          <w:sz w:val="22"/>
          <w:szCs w:val="22"/>
        </w:rPr>
        <w:t>m</w:t>
      </w:r>
      <w:r w:rsidR="006F31A7" w:rsidRPr="00B91B7E">
        <w:rPr>
          <w:rFonts w:ascii="Times New Roman" w:hAnsi="Times New Roman"/>
          <w:sz w:val="22"/>
          <w:szCs w:val="22"/>
        </w:rPr>
        <w:t xml:space="preserve"> information</w:t>
      </w:r>
      <w:r w:rsidRPr="00B91B7E">
        <w:rPr>
          <w:rFonts w:ascii="Times New Roman" w:hAnsi="Times New Roman"/>
          <w:sz w:val="22"/>
          <w:szCs w:val="22"/>
        </w:rPr>
        <w:t xml:space="preserve"> between UE and gNB. For example, when the gNB couldn’t decode UE’s reporting</w:t>
      </w:r>
      <w:r w:rsidR="004C5191" w:rsidRPr="00B91B7E">
        <w:rPr>
          <w:rFonts w:ascii="Times New Roman" w:hAnsi="Times New Roman"/>
          <w:sz w:val="22"/>
          <w:szCs w:val="22"/>
        </w:rPr>
        <w:t xml:space="preserve"> on P-MPR</w:t>
      </w:r>
      <w:r w:rsidRPr="00B91B7E">
        <w:rPr>
          <w:rFonts w:ascii="Times New Roman" w:hAnsi="Times New Roman"/>
          <w:sz w:val="22"/>
          <w:szCs w:val="22"/>
        </w:rPr>
        <w:t xml:space="preserve">, </w:t>
      </w:r>
      <w:r w:rsidR="00A661C9" w:rsidRPr="00B91B7E">
        <w:rPr>
          <w:rFonts w:ascii="Times New Roman" w:hAnsi="Times New Roman"/>
          <w:sz w:val="22"/>
          <w:szCs w:val="22"/>
        </w:rPr>
        <w:t xml:space="preserve">a </w:t>
      </w:r>
      <w:r w:rsidR="00970142" w:rsidRPr="00B91B7E">
        <w:rPr>
          <w:rFonts w:ascii="Times New Roman" w:hAnsi="Times New Roman"/>
          <w:sz w:val="22"/>
          <w:szCs w:val="22"/>
        </w:rPr>
        <w:t xml:space="preserve">different </w:t>
      </w:r>
      <w:r w:rsidR="00A661C9" w:rsidRPr="00B91B7E">
        <w:rPr>
          <w:rFonts w:ascii="Times New Roman" w:hAnsi="Times New Roman"/>
          <w:sz w:val="22"/>
          <w:szCs w:val="22"/>
        </w:rPr>
        <w:t>spatial filter may be applied</w:t>
      </w:r>
      <w:r w:rsidR="008825E3" w:rsidRPr="00B91B7E">
        <w:rPr>
          <w:rFonts w:ascii="Times New Roman" w:hAnsi="Times New Roman"/>
          <w:sz w:val="22"/>
          <w:szCs w:val="22"/>
        </w:rPr>
        <w:t xml:space="preserve"> and </w:t>
      </w:r>
      <w:r w:rsidR="005D057F" w:rsidRPr="00B91B7E">
        <w:rPr>
          <w:rFonts w:ascii="Times New Roman" w:hAnsi="Times New Roman"/>
          <w:sz w:val="22"/>
          <w:szCs w:val="22"/>
        </w:rPr>
        <w:t xml:space="preserve">severely </w:t>
      </w:r>
      <w:r w:rsidR="008825E3" w:rsidRPr="00B91B7E">
        <w:rPr>
          <w:rFonts w:ascii="Times New Roman" w:hAnsi="Times New Roman"/>
          <w:sz w:val="22"/>
          <w:szCs w:val="22"/>
        </w:rPr>
        <w:t>reduce uplink performance</w:t>
      </w:r>
      <w:r w:rsidR="001678DC" w:rsidRPr="00B91B7E">
        <w:rPr>
          <w:rFonts w:ascii="Times New Roman" w:hAnsi="Times New Roman"/>
          <w:sz w:val="22"/>
          <w:szCs w:val="22"/>
        </w:rPr>
        <w:t xml:space="preserve"> due to </w:t>
      </w:r>
      <w:r w:rsidR="00723D0B" w:rsidRPr="00B91B7E">
        <w:rPr>
          <w:rFonts w:ascii="Times New Roman" w:hAnsi="Times New Roman"/>
          <w:sz w:val="22"/>
          <w:szCs w:val="22"/>
        </w:rPr>
        <w:t xml:space="preserve">a </w:t>
      </w:r>
      <w:r w:rsidR="001678DC" w:rsidRPr="00B91B7E">
        <w:rPr>
          <w:rFonts w:ascii="Times New Roman" w:hAnsi="Times New Roman"/>
          <w:sz w:val="22"/>
          <w:szCs w:val="22"/>
        </w:rPr>
        <w:t>loss of antenna gain</w:t>
      </w:r>
      <w:proofErr w:type="gramStart"/>
      <w:r w:rsidR="008825E3" w:rsidRPr="00B91B7E">
        <w:rPr>
          <w:rFonts w:ascii="Times New Roman" w:hAnsi="Times New Roman"/>
          <w:sz w:val="22"/>
          <w:szCs w:val="22"/>
        </w:rPr>
        <w:t xml:space="preserve">. </w:t>
      </w:r>
      <w:r w:rsidR="00A661C9" w:rsidRPr="00B91B7E">
        <w:rPr>
          <w:rFonts w:ascii="Times New Roman" w:hAnsi="Times New Roman"/>
          <w:sz w:val="22"/>
          <w:szCs w:val="22"/>
        </w:rPr>
        <w:t xml:space="preserve"> </w:t>
      </w:r>
      <w:proofErr w:type="gramEnd"/>
      <w:r w:rsidR="00B166E8" w:rsidRPr="00B91B7E">
        <w:rPr>
          <w:rFonts w:ascii="Times New Roman" w:hAnsi="Times New Roman"/>
          <w:sz w:val="22"/>
          <w:szCs w:val="22"/>
        </w:rPr>
        <w:t xml:space="preserve">In that regard, </w:t>
      </w:r>
      <w:r w:rsidR="00025AB9" w:rsidRPr="00B91B7E">
        <w:rPr>
          <w:rFonts w:ascii="Times New Roman" w:hAnsi="Times New Roman"/>
          <w:sz w:val="22"/>
          <w:szCs w:val="22"/>
        </w:rPr>
        <w:t>a gNB confirmation can be considered</w:t>
      </w:r>
      <w:r w:rsidR="00131443" w:rsidRPr="00B91B7E">
        <w:rPr>
          <w:rFonts w:ascii="Times New Roman" w:hAnsi="Times New Roman"/>
          <w:sz w:val="22"/>
          <w:szCs w:val="22"/>
        </w:rPr>
        <w:t xml:space="preserve"> to align the understanding</w:t>
      </w:r>
      <w:r w:rsidR="00025AB9" w:rsidRPr="00B91B7E">
        <w:rPr>
          <w:rFonts w:ascii="Times New Roman" w:hAnsi="Times New Roman"/>
          <w:sz w:val="22"/>
          <w:szCs w:val="22"/>
        </w:rPr>
        <w:t xml:space="preserve">. For example, the gNB may transmit a PDCCH in a dedicated CORESET as a confirmation of the UE reporting on P-MPR. </w:t>
      </w:r>
    </w:p>
    <w:p w14:paraId="311D87F6" w14:textId="54F5A9C7" w:rsidR="005D057F" w:rsidRPr="00B91B7E" w:rsidRDefault="005D057F" w:rsidP="004965CE">
      <w:pPr>
        <w:pStyle w:val="BodyText"/>
        <w:spacing w:after="60"/>
        <w:ind w:firstLine="288"/>
        <w:rPr>
          <w:rFonts w:ascii="Times New Roman" w:hAnsi="Times New Roman"/>
          <w:sz w:val="22"/>
          <w:szCs w:val="22"/>
        </w:rPr>
      </w:pPr>
    </w:p>
    <w:p w14:paraId="7C0B5121" w14:textId="7767208E" w:rsidR="005D057F" w:rsidRPr="00B91B7E" w:rsidRDefault="005D057F" w:rsidP="005D057F">
      <w:pPr>
        <w:spacing w:after="0"/>
        <w:contextualSpacing/>
        <w:jc w:val="both"/>
        <w:rPr>
          <w:i/>
          <w:sz w:val="22"/>
        </w:rPr>
      </w:pPr>
      <w:r w:rsidRPr="00B91B7E">
        <w:rPr>
          <w:b/>
          <w:i/>
          <w:sz w:val="22"/>
        </w:rPr>
        <w:t xml:space="preserve">Observation </w:t>
      </w:r>
      <w:r w:rsidR="00921E04">
        <w:rPr>
          <w:b/>
          <w:i/>
          <w:sz w:val="22"/>
        </w:rPr>
        <w:t>7</w:t>
      </w:r>
      <w:r w:rsidRPr="00B91B7E">
        <w:rPr>
          <w:b/>
          <w:i/>
          <w:sz w:val="22"/>
        </w:rPr>
        <w:t>:</w:t>
      </w:r>
      <w:r w:rsidRPr="00B91B7E">
        <w:rPr>
          <w:i/>
          <w:sz w:val="22"/>
        </w:rPr>
        <w:t xml:space="preserve"> Possible mismatch of beam information between UE and gNB may severely degrade uplink performance. </w:t>
      </w:r>
    </w:p>
    <w:p w14:paraId="59344C9B" w14:textId="77777777" w:rsidR="005D057F" w:rsidRPr="00B91B7E" w:rsidRDefault="005D057F" w:rsidP="005D057F">
      <w:pPr>
        <w:spacing w:after="0"/>
        <w:contextualSpacing/>
        <w:jc w:val="both"/>
        <w:rPr>
          <w:b/>
          <w:i/>
          <w:sz w:val="22"/>
        </w:rPr>
      </w:pPr>
    </w:p>
    <w:p w14:paraId="466BCC9F" w14:textId="4DB019ED" w:rsidR="005D057F" w:rsidRDefault="005D057F" w:rsidP="005D057F">
      <w:pPr>
        <w:spacing w:after="0"/>
        <w:contextualSpacing/>
        <w:jc w:val="both"/>
        <w:rPr>
          <w:bCs/>
          <w:i/>
          <w:sz w:val="22"/>
        </w:rPr>
      </w:pPr>
      <w:r w:rsidRPr="00B91B7E">
        <w:rPr>
          <w:b/>
          <w:i/>
          <w:sz w:val="22"/>
        </w:rPr>
        <w:t xml:space="preserve">Proposal </w:t>
      </w:r>
      <w:r w:rsidR="00921E04">
        <w:rPr>
          <w:b/>
          <w:i/>
          <w:sz w:val="22"/>
        </w:rPr>
        <w:t>8</w:t>
      </w:r>
      <w:r w:rsidRPr="00B91B7E">
        <w:rPr>
          <w:b/>
          <w:i/>
          <w:sz w:val="22"/>
        </w:rPr>
        <w:t xml:space="preserve">: </w:t>
      </w:r>
      <w:r w:rsidR="00BB5C6E" w:rsidRPr="00B91B7E">
        <w:rPr>
          <w:bCs/>
          <w:i/>
          <w:sz w:val="22"/>
        </w:rPr>
        <w:t>Consider gNB confirmation mechanism to align beam information between UE and gNB.</w:t>
      </w:r>
      <w:r w:rsidRPr="00B91B7E">
        <w:rPr>
          <w:bCs/>
          <w:i/>
          <w:sz w:val="22"/>
        </w:rPr>
        <w:t xml:space="preserve"> </w:t>
      </w:r>
    </w:p>
    <w:p w14:paraId="616EC121" w14:textId="77777777" w:rsidR="00B5053A" w:rsidRPr="00B91B7E" w:rsidRDefault="00B5053A" w:rsidP="005D057F">
      <w:pPr>
        <w:spacing w:after="0"/>
        <w:contextualSpacing/>
        <w:jc w:val="both"/>
        <w:rPr>
          <w:bCs/>
          <w:i/>
          <w:sz w:val="22"/>
        </w:rPr>
      </w:pPr>
    </w:p>
    <w:p w14:paraId="4EAB9447" w14:textId="28E12D1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lastRenderedPageBreak/>
        <w:t>Conclusions</w:t>
      </w:r>
    </w:p>
    <w:p w14:paraId="276459C3" w14:textId="2A6148E6" w:rsidR="00C4142E" w:rsidRPr="00B91B7E" w:rsidRDefault="00A66C9D" w:rsidP="00E913CF">
      <w:pPr>
        <w:pStyle w:val="BodyText"/>
        <w:spacing w:after="0"/>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T</w:t>
      </w:r>
      <w:r w:rsidR="00C4142E" w:rsidRPr="00B91B7E">
        <w:rPr>
          <w:rFonts w:ascii="Times New Roman" w:eastAsiaTheme="minorEastAsia" w:hAnsi="Times New Roman"/>
          <w:sz w:val="22"/>
          <w:szCs w:val="22"/>
          <w:lang w:eastAsia="zh-CN"/>
        </w:rPr>
        <w:t xml:space="preserve">his contribution discussed potential enhancement </w:t>
      </w:r>
      <w:r w:rsidR="000E63A0" w:rsidRPr="00B91B7E">
        <w:rPr>
          <w:rFonts w:ascii="Times New Roman" w:eastAsiaTheme="minorEastAsia" w:hAnsi="Times New Roman"/>
          <w:sz w:val="22"/>
          <w:szCs w:val="22"/>
          <w:lang w:eastAsia="zh-CN"/>
        </w:rPr>
        <w:t xml:space="preserve">for </w:t>
      </w:r>
      <w:r w:rsidR="006E0FB7">
        <w:rPr>
          <w:rFonts w:ascii="Times New Roman" w:eastAsiaTheme="minorEastAsia" w:hAnsi="Times New Roman"/>
          <w:sz w:val="22"/>
          <w:szCs w:val="22"/>
          <w:lang w:eastAsia="zh-CN"/>
        </w:rPr>
        <w:t>Rel-17 beam manageme</w:t>
      </w:r>
      <w:r w:rsidR="004D27F3">
        <w:rPr>
          <w:rFonts w:ascii="Times New Roman" w:eastAsiaTheme="minorEastAsia" w:hAnsi="Times New Roman"/>
          <w:sz w:val="22"/>
          <w:szCs w:val="22"/>
          <w:lang w:eastAsia="zh-CN"/>
        </w:rPr>
        <w:t>n</w:t>
      </w:r>
      <w:r w:rsidR="006E0FB7">
        <w:rPr>
          <w:rFonts w:ascii="Times New Roman" w:eastAsiaTheme="minorEastAsia" w:hAnsi="Times New Roman"/>
          <w:sz w:val="22"/>
          <w:szCs w:val="22"/>
          <w:lang w:eastAsia="zh-CN"/>
        </w:rPr>
        <w:t>t</w:t>
      </w:r>
      <w:r w:rsidR="000E63A0" w:rsidRPr="00B91B7E">
        <w:rPr>
          <w:rFonts w:ascii="Times New Roman" w:eastAsiaTheme="minorEastAsia" w:hAnsi="Times New Roman"/>
          <w:sz w:val="22"/>
          <w:szCs w:val="22"/>
          <w:lang w:eastAsia="zh-CN"/>
        </w:rPr>
        <w:t>. Based on the presented discussion, we make the following observations and proposals,</w:t>
      </w:r>
    </w:p>
    <w:p w14:paraId="76F8A29C" w14:textId="77777777" w:rsidR="00A66C9D" w:rsidRPr="00B91B7E" w:rsidRDefault="00A66C9D" w:rsidP="00E913CF">
      <w:pPr>
        <w:spacing w:after="0"/>
        <w:contextualSpacing/>
        <w:jc w:val="both"/>
        <w:rPr>
          <w:b/>
          <w:i/>
          <w:sz w:val="22"/>
        </w:rPr>
      </w:pPr>
    </w:p>
    <w:p w14:paraId="68701CA4" w14:textId="60CBCFDF" w:rsidR="005A6B80" w:rsidRDefault="005A6B80" w:rsidP="005A6B80">
      <w:pPr>
        <w:spacing w:after="0" w:line="276" w:lineRule="auto"/>
        <w:contextualSpacing/>
        <w:jc w:val="both"/>
        <w:rPr>
          <w:i/>
          <w:sz w:val="22"/>
        </w:rPr>
      </w:pPr>
      <w:r w:rsidRPr="00B91B7E">
        <w:rPr>
          <w:b/>
          <w:bCs/>
          <w:i/>
          <w:sz w:val="22"/>
        </w:rPr>
        <w:t xml:space="preserve">Observation </w:t>
      </w:r>
      <w:r w:rsidR="00940C24">
        <w:rPr>
          <w:b/>
          <w:bCs/>
          <w:i/>
          <w:sz w:val="22"/>
        </w:rPr>
        <w:t>1</w:t>
      </w:r>
      <w:r w:rsidRPr="00B91B7E">
        <w:rPr>
          <w:b/>
          <w:bCs/>
          <w:i/>
          <w:sz w:val="22"/>
        </w:rPr>
        <w:t xml:space="preserve">: </w:t>
      </w:r>
      <w:r>
        <w:rPr>
          <w:i/>
          <w:sz w:val="22"/>
        </w:rPr>
        <w:t>For separate UL beam indication, utilization of existing UL DCI formats</w:t>
      </w:r>
      <w:r w:rsidR="00F61ACB">
        <w:rPr>
          <w:i/>
          <w:sz w:val="22"/>
        </w:rPr>
        <w:t xml:space="preserve"> 0_1 and 0_2</w:t>
      </w:r>
      <w:r>
        <w:rPr>
          <w:i/>
          <w:sz w:val="22"/>
        </w:rPr>
        <w:t xml:space="preserve"> is more efficient as it doesn’t require multiple PDCCH decoding and combined UE processing </w:t>
      </w:r>
      <w:r w:rsidR="00117514">
        <w:rPr>
          <w:i/>
          <w:sz w:val="22"/>
        </w:rPr>
        <w:t xml:space="preserve">time is possible </w:t>
      </w:r>
      <w:r>
        <w:rPr>
          <w:i/>
          <w:sz w:val="22"/>
        </w:rPr>
        <w:t xml:space="preserve">if UE </w:t>
      </w:r>
      <w:r w:rsidR="00975A86">
        <w:rPr>
          <w:i/>
          <w:sz w:val="22"/>
        </w:rPr>
        <w:t>implementation allows simultaneous processing</w:t>
      </w:r>
      <w:r w:rsidRPr="00B91B7E">
        <w:rPr>
          <w:i/>
          <w:sz w:val="22"/>
        </w:rPr>
        <w:t>.</w:t>
      </w:r>
    </w:p>
    <w:p w14:paraId="0B729C15" w14:textId="0DAC53F5" w:rsidR="005A6B80" w:rsidRPr="00B91B7E" w:rsidRDefault="005A6B80" w:rsidP="005A6B80">
      <w:pPr>
        <w:spacing w:after="0" w:line="276" w:lineRule="auto"/>
        <w:contextualSpacing/>
        <w:jc w:val="both"/>
        <w:rPr>
          <w:i/>
          <w:sz w:val="22"/>
        </w:rPr>
      </w:pPr>
      <w:r w:rsidRPr="00B91B7E">
        <w:rPr>
          <w:b/>
          <w:bCs/>
          <w:i/>
          <w:sz w:val="22"/>
        </w:rPr>
        <w:t xml:space="preserve">Observation </w:t>
      </w:r>
      <w:r w:rsidR="0036644C">
        <w:rPr>
          <w:b/>
          <w:bCs/>
          <w:i/>
          <w:sz w:val="22"/>
        </w:rPr>
        <w:t>2</w:t>
      </w:r>
      <w:r w:rsidRPr="00B91B7E">
        <w:rPr>
          <w:b/>
          <w:bCs/>
          <w:i/>
          <w:sz w:val="22"/>
        </w:rPr>
        <w:t>:</w:t>
      </w:r>
      <w:r w:rsidRPr="00B91B7E">
        <w:rPr>
          <w:i/>
          <w:sz w:val="22"/>
        </w:rPr>
        <w:t xml:space="preserve"> Beam failure recovery is an essential procedure which provides reliability and enables standalone operation of FR2.</w:t>
      </w:r>
    </w:p>
    <w:p w14:paraId="475C780D" w14:textId="271DA38A" w:rsidR="005A6B80" w:rsidRPr="00B91B7E" w:rsidRDefault="005A6B80" w:rsidP="005A6B80">
      <w:pPr>
        <w:spacing w:after="0" w:line="276" w:lineRule="auto"/>
        <w:contextualSpacing/>
        <w:jc w:val="both"/>
        <w:rPr>
          <w:i/>
          <w:sz w:val="22"/>
        </w:rPr>
      </w:pPr>
      <w:r w:rsidRPr="00B91B7E">
        <w:rPr>
          <w:b/>
          <w:bCs/>
          <w:i/>
          <w:sz w:val="22"/>
        </w:rPr>
        <w:t xml:space="preserve">Observation </w:t>
      </w:r>
      <w:r w:rsidR="0036644C">
        <w:rPr>
          <w:b/>
          <w:bCs/>
          <w:i/>
          <w:sz w:val="22"/>
        </w:rPr>
        <w:t>3</w:t>
      </w:r>
      <w:r w:rsidRPr="00B91B7E">
        <w:rPr>
          <w:b/>
          <w:bCs/>
          <w:i/>
          <w:sz w:val="22"/>
        </w:rPr>
        <w:t xml:space="preserve">: </w:t>
      </w:r>
      <w:r w:rsidRPr="00B91B7E">
        <w:rPr>
          <w:i/>
          <w:sz w:val="22"/>
        </w:rPr>
        <w:t xml:space="preserve">As number of cells to be monitored, </w:t>
      </w:r>
      <w:proofErr w:type="gramStart"/>
      <w:r w:rsidRPr="00B91B7E">
        <w:rPr>
          <w:i/>
          <w:sz w:val="22"/>
        </w:rPr>
        <w:t>selected</w:t>
      </w:r>
      <w:proofErr w:type="gramEnd"/>
      <w:r w:rsidRPr="00B91B7E">
        <w:rPr>
          <w:i/>
          <w:sz w:val="22"/>
        </w:rPr>
        <w:t xml:space="preserve"> and reported increases, UE implementation complexity and power consumption also increase.</w:t>
      </w:r>
    </w:p>
    <w:p w14:paraId="352EDB34" w14:textId="3717AE30" w:rsidR="005A6B80" w:rsidRPr="00B91B7E" w:rsidRDefault="005A6B80" w:rsidP="005A6B80">
      <w:pPr>
        <w:spacing w:after="0" w:line="276" w:lineRule="auto"/>
        <w:contextualSpacing/>
        <w:jc w:val="both"/>
        <w:rPr>
          <w:i/>
          <w:sz w:val="22"/>
        </w:rPr>
      </w:pPr>
      <w:r w:rsidRPr="00B91B7E">
        <w:rPr>
          <w:b/>
          <w:bCs/>
          <w:i/>
          <w:sz w:val="22"/>
        </w:rPr>
        <w:t xml:space="preserve">Observation </w:t>
      </w:r>
      <w:r w:rsidR="0036644C">
        <w:rPr>
          <w:b/>
          <w:bCs/>
          <w:i/>
          <w:sz w:val="22"/>
        </w:rPr>
        <w:t>4</w:t>
      </w:r>
      <w:r w:rsidRPr="00B91B7E">
        <w:rPr>
          <w:b/>
          <w:bCs/>
          <w:i/>
          <w:sz w:val="22"/>
        </w:rPr>
        <w:t xml:space="preserve">: </w:t>
      </w:r>
      <w:r>
        <w:rPr>
          <w:i/>
          <w:sz w:val="22"/>
        </w:rPr>
        <w:t>CSI reporting can be a good method to indicate UE’s panel selection</w:t>
      </w:r>
      <w:r w:rsidR="00117514">
        <w:rPr>
          <w:i/>
          <w:sz w:val="22"/>
        </w:rPr>
        <w:t>/activation</w:t>
      </w:r>
      <w:r>
        <w:rPr>
          <w:i/>
          <w:sz w:val="22"/>
        </w:rPr>
        <w:t xml:space="preserve"> with simple specification impact</w:t>
      </w:r>
      <w:r w:rsidRPr="00B91B7E">
        <w:rPr>
          <w:i/>
          <w:sz w:val="22"/>
        </w:rPr>
        <w:t>.</w:t>
      </w:r>
    </w:p>
    <w:p w14:paraId="3E6E1FEE" w14:textId="2282451A" w:rsidR="005A6B80" w:rsidRPr="00987455" w:rsidRDefault="005A6B80" w:rsidP="005A6B80">
      <w:pPr>
        <w:spacing w:after="0" w:line="276" w:lineRule="auto"/>
        <w:contextualSpacing/>
        <w:jc w:val="both"/>
        <w:rPr>
          <w:i/>
          <w:sz w:val="22"/>
        </w:rPr>
      </w:pPr>
      <w:r w:rsidRPr="00987455">
        <w:rPr>
          <w:b/>
          <w:i/>
          <w:sz w:val="22"/>
        </w:rPr>
        <w:t xml:space="preserve">Observation </w:t>
      </w:r>
      <w:r w:rsidR="0036644C">
        <w:rPr>
          <w:b/>
          <w:i/>
          <w:sz w:val="22"/>
        </w:rPr>
        <w:t>5</w:t>
      </w:r>
      <w:r w:rsidRPr="00987455">
        <w:rPr>
          <w:b/>
          <w:i/>
          <w:sz w:val="22"/>
        </w:rPr>
        <w:t>:</w:t>
      </w:r>
      <w:r w:rsidRPr="00987455">
        <w:rPr>
          <w:i/>
          <w:sz w:val="22"/>
        </w:rPr>
        <w:t xml:space="preserve"> While UE is able to identify UE-side information for panel determination, gNB is able to identify gNB-side information for panel determination. </w:t>
      </w:r>
    </w:p>
    <w:p w14:paraId="415A6D3E" w14:textId="7AA1ABDE" w:rsidR="005A6B80" w:rsidRPr="00B91B7E" w:rsidRDefault="005A6B80" w:rsidP="005A6B80">
      <w:pPr>
        <w:spacing w:after="0" w:line="276" w:lineRule="auto"/>
        <w:contextualSpacing/>
        <w:jc w:val="both"/>
        <w:rPr>
          <w:i/>
          <w:sz w:val="22"/>
        </w:rPr>
      </w:pPr>
      <w:r w:rsidRPr="00B91B7E">
        <w:rPr>
          <w:b/>
          <w:i/>
          <w:sz w:val="22"/>
        </w:rPr>
        <w:t xml:space="preserve">Observation </w:t>
      </w:r>
      <w:r w:rsidR="0036644C">
        <w:rPr>
          <w:b/>
          <w:i/>
          <w:sz w:val="22"/>
        </w:rPr>
        <w:t>6</w:t>
      </w:r>
      <w:r w:rsidRPr="00B91B7E">
        <w:rPr>
          <w:b/>
          <w:i/>
          <w:sz w:val="22"/>
        </w:rPr>
        <w:t>:</w:t>
      </w:r>
      <w:r w:rsidRPr="00B91B7E">
        <w:rPr>
          <w:i/>
          <w:sz w:val="22"/>
        </w:rPr>
        <w:t xml:space="preserve"> </w:t>
      </w:r>
      <w:r w:rsidR="000F2775">
        <w:rPr>
          <w:i/>
          <w:sz w:val="22"/>
        </w:rPr>
        <w:t>Beam-level reporting provides both panel and beam related information while panel-select reporting only provides information on a specific panel</w:t>
      </w:r>
      <w:proofErr w:type="gramStart"/>
      <w:r w:rsidR="000F2775">
        <w:rPr>
          <w:i/>
          <w:sz w:val="22"/>
        </w:rPr>
        <w:t xml:space="preserve">. </w:t>
      </w:r>
      <w:r w:rsidR="000F2775" w:rsidRPr="00B91B7E">
        <w:rPr>
          <w:i/>
          <w:sz w:val="22"/>
        </w:rPr>
        <w:t xml:space="preserve"> </w:t>
      </w:r>
      <w:proofErr w:type="gramEnd"/>
    </w:p>
    <w:p w14:paraId="31E761A5" w14:textId="274B510C" w:rsidR="005A6B80" w:rsidRPr="00B91B7E" w:rsidRDefault="005A6B80" w:rsidP="005A6B80">
      <w:pPr>
        <w:spacing w:after="0" w:line="276" w:lineRule="auto"/>
        <w:contextualSpacing/>
        <w:jc w:val="both"/>
        <w:rPr>
          <w:i/>
          <w:sz w:val="22"/>
        </w:rPr>
      </w:pPr>
      <w:r w:rsidRPr="00B91B7E">
        <w:rPr>
          <w:b/>
          <w:i/>
          <w:sz w:val="22"/>
        </w:rPr>
        <w:t xml:space="preserve">Observation </w:t>
      </w:r>
      <w:r w:rsidR="0036644C">
        <w:rPr>
          <w:b/>
          <w:i/>
          <w:sz w:val="22"/>
        </w:rPr>
        <w:t>7</w:t>
      </w:r>
      <w:r w:rsidRPr="00B91B7E">
        <w:rPr>
          <w:b/>
          <w:i/>
          <w:sz w:val="22"/>
        </w:rPr>
        <w:t>:</w:t>
      </w:r>
      <w:r w:rsidRPr="00B91B7E">
        <w:rPr>
          <w:i/>
          <w:sz w:val="22"/>
        </w:rPr>
        <w:t xml:space="preserve"> Possible mismatch of beam information between UE and gNB may severely degrade uplink performance. </w:t>
      </w:r>
    </w:p>
    <w:p w14:paraId="51C3BD99" w14:textId="4D9F1F3F" w:rsidR="005A6B80" w:rsidRDefault="005A6B80" w:rsidP="005A6B80">
      <w:pPr>
        <w:tabs>
          <w:tab w:val="left" w:pos="2680"/>
        </w:tabs>
        <w:spacing w:after="0" w:line="276" w:lineRule="auto"/>
        <w:contextualSpacing/>
        <w:jc w:val="both"/>
        <w:rPr>
          <w:i/>
          <w:sz w:val="22"/>
        </w:rPr>
      </w:pPr>
    </w:p>
    <w:p w14:paraId="5192F2CF" w14:textId="77777777" w:rsidR="0036644C" w:rsidRDefault="0036644C" w:rsidP="0036644C">
      <w:pPr>
        <w:spacing w:after="0"/>
        <w:contextualSpacing/>
        <w:jc w:val="both"/>
        <w:rPr>
          <w:bCs/>
          <w:i/>
          <w:sz w:val="22"/>
        </w:rPr>
      </w:pPr>
      <w:r w:rsidRPr="00B91B7E">
        <w:rPr>
          <w:b/>
          <w:i/>
          <w:sz w:val="22"/>
        </w:rPr>
        <w:t xml:space="preserve">Proposal </w:t>
      </w:r>
      <w:r>
        <w:rPr>
          <w:b/>
          <w:i/>
          <w:sz w:val="22"/>
        </w:rPr>
        <w:t>1</w:t>
      </w:r>
      <w:r w:rsidRPr="00B91B7E">
        <w:rPr>
          <w:b/>
          <w:i/>
          <w:sz w:val="22"/>
        </w:rPr>
        <w:t>:</w:t>
      </w:r>
      <w:r w:rsidRPr="00B91B7E">
        <w:rPr>
          <w:bCs/>
          <w:i/>
          <w:sz w:val="22"/>
        </w:rPr>
        <w:t xml:space="preserve"> </w:t>
      </w:r>
      <w:r>
        <w:rPr>
          <w:bCs/>
          <w:i/>
          <w:sz w:val="22"/>
        </w:rPr>
        <w:t>A</w:t>
      </w:r>
      <w:r w:rsidRPr="00CA7B1C">
        <w:rPr>
          <w:bCs/>
          <w:i/>
          <w:sz w:val="22"/>
        </w:rPr>
        <w:t>ny SRS resource that is a valid target signal of a Rel-15/16 UL spatial relation can be configured as a target signal/channel of a Rel-17 UL which reuses the Rel-15/16 spatial relation info update mechanisms, with having a restriction that the SRS resources in the same set should be associated with the same UL PC setting</w:t>
      </w:r>
      <w:r>
        <w:rPr>
          <w:bCs/>
          <w:i/>
          <w:sz w:val="22"/>
        </w:rPr>
        <w:t>.</w:t>
      </w:r>
    </w:p>
    <w:p w14:paraId="1A2C8208" w14:textId="6BEC9904" w:rsidR="005A6B80" w:rsidRDefault="005A6B80" w:rsidP="005A6B80">
      <w:pPr>
        <w:spacing w:after="0" w:line="276" w:lineRule="auto"/>
        <w:contextualSpacing/>
        <w:jc w:val="both"/>
        <w:rPr>
          <w:bCs/>
          <w:i/>
          <w:sz w:val="22"/>
        </w:rPr>
      </w:pPr>
      <w:r w:rsidRPr="00B91B7E">
        <w:rPr>
          <w:b/>
          <w:i/>
          <w:sz w:val="22"/>
        </w:rPr>
        <w:t xml:space="preserve">Proposal </w:t>
      </w:r>
      <w:r w:rsidR="0036644C">
        <w:rPr>
          <w:b/>
          <w:i/>
          <w:sz w:val="22"/>
        </w:rPr>
        <w:t>2</w:t>
      </w:r>
      <w:r w:rsidRPr="00B91B7E">
        <w:rPr>
          <w:b/>
          <w:i/>
          <w:sz w:val="22"/>
        </w:rPr>
        <w:t>:</w:t>
      </w:r>
      <w:r w:rsidRPr="00B91B7E">
        <w:rPr>
          <w:bCs/>
          <w:i/>
          <w:sz w:val="22"/>
        </w:rPr>
        <w:t xml:space="preserve"> </w:t>
      </w:r>
      <w:r>
        <w:rPr>
          <w:bCs/>
          <w:i/>
          <w:sz w:val="22"/>
        </w:rPr>
        <w:t>For separate UL beam indication, utilization of the existing UL DCI formats 0_1 and 0_2 is preferred.</w:t>
      </w:r>
    </w:p>
    <w:p w14:paraId="5533AC00" w14:textId="1E83C55B" w:rsidR="005A6B80" w:rsidRPr="00B91B7E" w:rsidRDefault="005A6B80" w:rsidP="005A6B80">
      <w:pPr>
        <w:spacing w:after="0" w:line="276" w:lineRule="auto"/>
        <w:contextualSpacing/>
        <w:jc w:val="both"/>
        <w:rPr>
          <w:bCs/>
          <w:i/>
          <w:sz w:val="22"/>
        </w:rPr>
      </w:pPr>
      <w:r w:rsidRPr="00B91B7E">
        <w:rPr>
          <w:b/>
          <w:i/>
          <w:sz w:val="22"/>
        </w:rPr>
        <w:t xml:space="preserve">Proposal </w:t>
      </w:r>
      <w:r w:rsidR="0036644C">
        <w:rPr>
          <w:b/>
          <w:i/>
          <w:sz w:val="22"/>
        </w:rPr>
        <w:t>3</w:t>
      </w:r>
      <w:r w:rsidRPr="00B91B7E">
        <w:rPr>
          <w:b/>
          <w:i/>
          <w:sz w:val="22"/>
        </w:rPr>
        <w:t>:</w:t>
      </w:r>
      <w:r w:rsidRPr="00B91B7E">
        <w:rPr>
          <w:bCs/>
          <w:i/>
          <w:sz w:val="22"/>
        </w:rPr>
        <w:t xml:space="preserve"> Efficient beam failure recovery operation for inter-cell operation should be supported.</w:t>
      </w:r>
    </w:p>
    <w:p w14:paraId="3E5A170C" w14:textId="403703DC" w:rsidR="005A6B80" w:rsidRPr="00B91B7E" w:rsidRDefault="005A6B80" w:rsidP="005A6B80">
      <w:pPr>
        <w:spacing w:after="0" w:line="276" w:lineRule="auto"/>
        <w:contextualSpacing/>
        <w:jc w:val="both"/>
        <w:rPr>
          <w:bCs/>
          <w:i/>
          <w:sz w:val="22"/>
        </w:rPr>
      </w:pPr>
      <w:r w:rsidRPr="00B91B7E">
        <w:rPr>
          <w:b/>
          <w:i/>
          <w:sz w:val="22"/>
        </w:rPr>
        <w:t xml:space="preserve">Proposal </w:t>
      </w:r>
      <w:r w:rsidR="0036644C">
        <w:rPr>
          <w:b/>
          <w:i/>
          <w:sz w:val="22"/>
        </w:rPr>
        <w:t>4</w:t>
      </w:r>
      <w:r w:rsidRPr="00B91B7E">
        <w:rPr>
          <w:b/>
          <w:i/>
          <w:sz w:val="22"/>
        </w:rPr>
        <w:t>:</w:t>
      </w:r>
      <w:r w:rsidRPr="00B91B7E">
        <w:rPr>
          <w:bCs/>
          <w:i/>
          <w:sz w:val="22"/>
        </w:rPr>
        <w:t xml:space="preserve"> </w:t>
      </w:r>
      <w:r>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218FC7D0" w14:textId="199BD38F" w:rsidR="005A6B80" w:rsidRPr="00987455" w:rsidRDefault="005A6B80" w:rsidP="005A6B80">
      <w:pPr>
        <w:spacing w:after="0" w:line="276" w:lineRule="auto"/>
        <w:contextualSpacing/>
        <w:jc w:val="both"/>
        <w:rPr>
          <w:bCs/>
          <w:i/>
          <w:sz w:val="22"/>
        </w:rPr>
      </w:pPr>
      <w:r w:rsidRPr="00987455">
        <w:rPr>
          <w:b/>
          <w:i/>
          <w:sz w:val="22"/>
        </w:rPr>
        <w:t>Proposal</w:t>
      </w:r>
      <w:r>
        <w:rPr>
          <w:b/>
          <w:i/>
          <w:sz w:val="22"/>
        </w:rPr>
        <w:t xml:space="preserve"> </w:t>
      </w:r>
      <w:r w:rsidR="0036644C">
        <w:rPr>
          <w:b/>
          <w:i/>
          <w:sz w:val="22"/>
        </w:rPr>
        <w:t>5</w:t>
      </w:r>
      <w:r w:rsidRPr="00987455">
        <w:rPr>
          <w:b/>
          <w:i/>
          <w:sz w:val="22"/>
        </w:rPr>
        <w:t xml:space="preserve">: </w:t>
      </w:r>
      <w:r w:rsidRPr="00987455">
        <w:rPr>
          <w:bCs/>
          <w:i/>
          <w:sz w:val="22"/>
        </w:rPr>
        <w:t>Introduce NW-initiated panel selection/activation in addition to UE-initiated panel selection/activation.</w:t>
      </w:r>
    </w:p>
    <w:p w14:paraId="57252FCC" w14:textId="0A0FD71D" w:rsidR="000F2775" w:rsidRPr="00B91B7E" w:rsidRDefault="005A6B80" w:rsidP="000F2775">
      <w:pPr>
        <w:spacing w:after="0"/>
        <w:contextualSpacing/>
        <w:jc w:val="both"/>
        <w:rPr>
          <w:bCs/>
          <w:i/>
          <w:sz w:val="22"/>
        </w:rPr>
      </w:pPr>
      <w:r w:rsidRPr="00B91B7E">
        <w:rPr>
          <w:b/>
          <w:i/>
          <w:sz w:val="22"/>
        </w:rPr>
        <w:t xml:space="preserve">Proposal </w:t>
      </w:r>
      <w:r w:rsidR="0036644C">
        <w:rPr>
          <w:b/>
          <w:i/>
          <w:sz w:val="22"/>
        </w:rPr>
        <w:t>6</w:t>
      </w:r>
      <w:r w:rsidRPr="00B91B7E">
        <w:rPr>
          <w:b/>
          <w:i/>
          <w:sz w:val="22"/>
        </w:rPr>
        <w:t xml:space="preserve">: </w:t>
      </w:r>
      <w:r>
        <w:rPr>
          <w:bCs/>
          <w:i/>
          <w:sz w:val="22"/>
        </w:rPr>
        <w:t xml:space="preserve">Introduce </w:t>
      </w:r>
      <w:r w:rsidR="000F2775">
        <w:rPr>
          <w:bCs/>
          <w:i/>
          <w:sz w:val="22"/>
        </w:rPr>
        <w:t xml:space="preserve">reporting of </w:t>
      </w:r>
      <w:r>
        <w:rPr>
          <w:bCs/>
          <w:i/>
          <w:sz w:val="22"/>
        </w:rPr>
        <w:t xml:space="preserve">SSBRI(s)/CRI(s) </w:t>
      </w:r>
      <w:r w:rsidR="000F2775">
        <w:rPr>
          <w:bCs/>
          <w:i/>
          <w:sz w:val="22"/>
        </w:rPr>
        <w:t>to indicate gNB beam(s) with an association with a specific panel (e.g., TCI state group ID or panel ID).</w:t>
      </w:r>
    </w:p>
    <w:p w14:paraId="1CED2690" w14:textId="7B6D7606" w:rsidR="000F2775" w:rsidRPr="00B91B7E" w:rsidRDefault="000F2775" w:rsidP="000F2775">
      <w:pPr>
        <w:spacing w:after="0"/>
        <w:contextualSpacing/>
        <w:jc w:val="both"/>
        <w:rPr>
          <w:bCs/>
          <w:i/>
          <w:sz w:val="22"/>
        </w:rPr>
      </w:pPr>
      <w:r w:rsidRPr="00B91B7E">
        <w:rPr>
          <w:b/>
          <w:i/>
          <w:sz w:val="22"/>
        </w:rPr>
        <w:t xml:space="preserve">Proposal </w:t>
      </w:r>
      <w:r w:rsidR="0036644C">
        <w:rPr>
          <w:b/>
          <w:i/>
          <w:sz w:val="22"/>
        </w:rPr>
        <w:t>7</w:t>
      </w:r>
      <w:r w:rsidRPr="00B91B7E">
        <w:rPr>
          <w:b/>
          <w:i/>
          <w:sz w:val="22"/>
        </w:rPr>
        <w:t xml:space="preserve">: </w:t>
      </w:r>
      <w:r>
        <w:rPr>
          <w:bCs/>
          <w:i/>
          <w:sz w:val="22"/>
        </w:rPr>
        <w:t xml:space="preserve">Introduce a TCI state </w:t>
      </w:r>
      <w:proofErr w:type="gramStart"/>
      <w:r>
        <w:rPr>
          <w:bCs/>
          <w:i/>
          <w:sz w:val="22"/>
        </w:rPr>
        <w:t>group based</w:t>
      </w:r>
      <w:proofErr w:type="gramEnd"/>
      <w:r>
        <w:rPr>
          <w:bCs/>
          <w:i/>
          <w:sz w:val="22"/>
        </w:rPr>
        <w:t xml:space="preserve"> indication and UE-centric determination of a TCI state in the indicated TCI state group</w:t>
      </w:r>
      <w:r w:rsidR="003100A1">
        <w:rPr>
          <w:bCs/>
          <w:i/>
          <w:sz w:val="22"/>
        </w:rPr>
        <w:t>.</w:t>
      </w:r>
    </w:p>
    <w:p w14:paraId="69B7F3AC" w14:textId="401FAF02" w:rsidR="005A6B80" w:rsidRPr="00B91B7E" w:rsidRDefault="005A6B80" w:rsidP="002419AB">
      <w:pPr>
        <w:spacing w:after="120" w:line="276" w:lineRule="auto"/>
        <w:contextualSpacing/>
        <w:jc w:val="both"/>
        <w:rPr>
          <w:bCs/>
          <w:i/>
          <w:sz w:val="22"/>
        </w:rPr>
      </w:pPr>
      <w:r w:rsidRPr="00B91B7E">
        <w:rPr>
          <w:b/>
          <w:i/>
          <w:sz w:val="22"/>
        </w:rPr>
        <w:t xml:space="preserve">Proposal </w:t>
      </w:r>
      <w:r w:rsidR="0036644C">
        <w:rPr>
          <w:b/>
          <w:i/>
          <w:sz w:val="22"/>
        </w:rPr>
        <w:t>8</w:t>
      </w:r>
      <w:r w:rsidRPr="00B91B7E">
        <w:rPr>
          <w:b/>
          <w:i/>
          <w:sz w:val="22"/>
        </w:rPr>
        <w:t xml:space="preserve">: </w:t>
      </w:r>
      <w:r w:rsidRPr="00B91B7E">
        <w:rPr>
          <w:bCs/>
          <w:i/>
          <w:sz w:val="22"/>
        </w:rPr>
        <w:t xml:space="preserve">Consider gNB confirmation mechanism to align beam information between UE and gNB. </w:t>
      </w:r>
    </w:p>
    <w:p w14:paraId="32220EEF" w14:textId="77777777" w:rsidR="00C4142E" w:rsidRPr="00B91B7E" w:rsidRDefault="00C4142E" w:rsidP="00C06D45">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References</w:t>
      </w:r>
    </w:p>
    <w:p w14:paraId="5FE8F131" w14:textId="2F95A647" w:rsidR="000E63A0" w:rsidRPr="00B91B7E" w:rsidRDefault="00246830" w:rsidP="00597BDB">
      <w:pPr>
        <w:pStyle w:val="BodyText"/>
        <w:numPr>
          <w:ilvl w:val="0"/>
          <w:numId w:val="11"/>
        </w:numPr>
        <w:overflowPunct/>
        <w:autoSpaceDE/>
        <w:autoSpaceDN/>
        <w:adjustRightInd/>
        <w:spacing w:after="0"/>
        <w:contextualSpacing/>
        <w:textAlignment w:val="auto"/>
      </w:pPr>
      <w:r w:rsidRPr="00172A51">
        <w:rPr>
          <w:rFonts w:ascii="Times New Roman" w:hAnsi="Times New Roman"/>
          <w:sz w:val="22"/>
        </w:rPr>
        <w:t>Chairman’s Notes, 3GPP TSG RAN WG1 Meeting #106</w:t>
      </w:r>
      <w:r w:rsidR="00172A51" w:rsidRPr="00172A51">
        <w:rPr>
          <w:rFonts w:ascii="Times New Roman" w:hAnsi="Times New Roman"/>
          <w:sz w:val="22"/>
        </w:rPr>
        <w:t>b</w:t>
      </w:r>
      <w:r w:rsidRPr="00172A51">
        <w:rPr>
          <w:rFonts w:ascii="Times New Roman" w:hAnsi="Times New Roman"/>
          <w:sz w:val="22"/>
        </w:rPr>
        <w:t xml:space="preserve">-e, e-Meeting, </w:t>
      </w:r>
      <w:r w:rsidR="00172A51" w:rsidRPr="00172A51">
        <w:rPr>
          <w:rFonts w:ascii="Times New Roman" w:hAnsi="Times New Roman"/>
          <w:sz w:val="22"/>
        </w:rPr>
        <w:t xml:space="preserve">October 11th </w:t>
      </w:r>
      <w:r w:rsidRPr="00172A51">
        <w:rPr>
          <w:rFonts w:ascii="Times New Roman" w:hAnsi="Times New Roman"/>
          <w:sz w:val="22"/>
        </w:rPr>
        <w:t xml:space="preserve">– </w:t>
      </w:r>
      <w:r w:rsidR="00172A51" w:rsidRPr="00172A51">
        <w:rPr>
          <w:rFonts w:ascii="Times New Roman" w:hAnsi="Times New Roman"/>
          <w:sz w:val="22"/>
        </w:rPr>
        <w:t>19th</w:t>
      </w:r>
      <w:r w:rsidRPr="00172A51">
        <w:rPr>
          <w:rFonts w:ascii="Times New Roman" w:hAnsi="Times New Roman"/>
          <w:sz w:val="22"/>
        </w:rPr>
        <w:t>, 2021</w:t>
      </w:r>
      <w:proofErr w:type="gramStart"/>
      <w:r w:rsidR="00172A51" w:rsidRPr="00172A51">
        <w:rPr>
          <w:rFonts w:ascii="Times New Roman" w:hAnsi="Times New Roman"/>
          <w:sz w:val="22"/>
        </w:rPr>
        <w:t>.</w:t>
      </w:r>
      <w:r w:rsidR="00BD78FA">
        <w:t xml:space="preserve">  </w:t>
      </w:r>
      <w:proofErr w:type="gramEnd"/>
    </w:p>
    <w:sectPr w:rsidR="000E63A0" w:rsidRPr="00B91B7E"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E8F9F" w14:textId="77777777" w:rsidR="004E2AC5" w:rsidRDefault="004E2AC5">
      <w:r>
        <w:separator/>
      </w:r>
    </w:p>
  </w:endnote>
  <w:endnote w:type="continuationSeparator" w:id="0">
    <w:p w14:paraId="12045652" w14:textId="77777777" w:rsidR="004E2AC5" w:rsidRDefault="004E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5E15A4" w:rsidRDefault="005E15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5E15A4" w:rsidRDefault="005E15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5E15A4" w:rsidRDefault="005E15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942A8" w14:textId="77777777" w:rsidR="004E2AC5" w:rsidRDefault="004E2AC5">
      <w:r>
        <w:separator/>
      </w:r>
    </w:p>
  </w:footnote>
  <w:footnote w:type="continuationSeparator" w:id="0">
    <w:p w14:paraId="4FD736AA" w14:textId="77777777" w:rsidR="004E2AC5" w:rsidRDefault="004E2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5E15A4" w:rsidRDefault="005E15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27056"/>
    <w:multiLevelType w:val="hybridMultilevel"/>
    <w:tmpl w:val="2092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E6069"/>
    <w:multiLevelType w:val="hybridMultilevel"/>
    <w:tmpl w:val="694E4C58"/>
    <w:lvl w:ilvl="0" w:tplc="04090001">
      <w:start w:val="1"/>
      <w:numFmt w:val="bullet"/>
      <w:lvlText w:val=""/>
      <w:lvlJc w:val="left"/>
      <w:pPr>
        <w:ind w:left="760" w:hanging="360"/>
      </w:pPr>
      <w:rPr>
        <w:rFonts w:ascii="Symbol" w:hAnsi="Symbol" w:hint="default"/>
        <w:b/>
        <w:color w:val="auto"/>
        <w:sz w:val="22"/>
      </w:rPr>
    </w:lvl>
    <w:lvl w:ilvl="1" w:tplc="2EC25788">
      <w:start w:val="6"/>
      <w:numFmt w:val="bullet"/>
      <w:lvlText w:val="-"/>
      <w:lvlJc w:val="left"/>
      <w:pPr>
        <w:ind w:left="1200" w:hanging="400"/>
      </w:pPr>
      <w:rPr>
        <w:rFonts w:ascii="Arial" w:eastAsia="SimSun" w:hAnsi="Arial" w:cs="Aria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2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8"/>
  </w:num>
  <w:num w:numId="7">
    <w:abstractNumId w:val="10"/>
    <w:lvlOverride w:ilvl="0">
      <w:startOverride w:val="1"/>
    </w:lvlOverride>
  </w:num>
  <w:num w:numId="8">
    <w:abstractNumId w:val="4"/>
  </w:num>
  <w:num w:numId="9">
    <w:abstractNumId w:val="21"/>
  </w:num>
  <w:num w:numId="10">
    <w:abstractNumId w:val="28"/>
  </w:num>
  <w:num w:numId="11">
    <w:abstractNumId w:val="5"/>
  </w:num>
  <w:num w:numId="12">
    <w:abstractNumId w:val="20"/>
  </w:num>
  <w:num w:numId="13">
    <w:abstractNumId w:val="24"/>
  </w:num>
  <w:num w:numId="14">
    <w:abstractNumId w:val="11"/>
    <w:lvlOverride w:ilvl="0"/>
    <w:lvlOverride w:ilvl="1">
      <w:startOverride w:val="1"/>
    </w:lvlOverride>
    <w:lvlOverride w:ilvl="2"/>
    <w:lvlOverride w:ilvl="3"/>
    <w:lvlOverride w:ilvl="4"/>
    <w:lvlOverride w:ilvl="5"/>
    <w:lvlOverride w:ilvl="6"/>
    <w:lvlOverride w:ilvl="7"/>
    <w:lvlOverride w:ilvl="8"/>
  </w:num>
  <w:num w:numId="15">
    <w:abstractNumId w:val="19"/>
  </w:num>
  <w:num w:numId="16">
    <w:abstractNumId w:val="8"/>
  </w:num>
  <w:num w:numId="17">
    <w:abstractNumId w:val="2"/>
  </w:num>
  <w:num w:numId="18">
    <w:abstractNumId w:val="15"/>
  </w:num>
  <w:num w:numId="19">
    <w:abstractNumId w:val="16"/>
  </w:num>
  <w:num w:numId="20">
    <w:abstractNumId w:val="9"/>
  </w:num>
  <w:num w:numId="21">
    <w:abstractNumId w:val="14"/>
  </w:num>
  <w:num w:numId="22">
    <w:abstractNumId w:val="26"/>
  </w:num>
  <w:num w:numId="23">
    <w:abstractNumId w:val="22"/>
  </w:num>
  <w:num w:numId="24">
    <w:abstractNumId w:val="23"/>
  </w:num>
  <w:num w:numId="25">
    <w:abstractNumId w:val="9"/>
  </w:num>
  <w:num w:numId="26">
    <w:abstractNumId w:val="13"/>
  </w:num>
  <w:num w:numId="27">
    <w:abstractNumId w:val="13"/>
  </w:num>
  <w:num w:numId="28">
    <w:abstractNumId w:val="17"/>
  </w:num>
  <w:num w:numId="29">
    <w:abstractNumId w:val="6"/>
  </w:num>
  <w:num w:numId="3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D5B"/>
    <w:rsid w:val="00006E62"/>
    <w:rsid w:val="00007207"/>
    <w:rsid w:val="000072BD"/>
    <w:rsid w:val="00007500"/>
    <w:rsid w:val="00007605"/>
    <w:rsid w:val="000077B5"/>
    <w:rsid w:val="0000792C"/>
    <w:rsid w:val="00007CEF"/>
    <w:rsid w:val="0001004F"/>
    <w:rsid w:val="000101EF"/>
    <w:rsid w:val="00010AF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B9"/>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99F"/>
    <w:rsid w:val="00031ECE"/>
    <w:rsid w:val="00031EDD"/>
    <w:rsid w:val="00032043"/>
    <w:rsid w:val="000321DC"/>
    <w:rsid w:val="00032449"/>
    <w:rsid w:val="00032A64"/>
    <w:rsid w:val="000334D2"/>
    <w:rsid w:val="00033834"/>
    <w:rsid w:val="00033A55"/>
    <w:rsid w:val="00033AE8"/>
    <w:rsid w:val="00033E5C"/>
    <w:rsid w:val="00033EC5"/>
    <w:rsid w:val="000347CA"/>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56E"/>
    <w:rsid w:val="0005468A"/>
    <w:rsid w:val="00054ACE"/>
    <w:rsid w:val="00054DAB"/>
    <w:rsid w:val="00054EC3"/>
    <w:rsid w:val="0005502D"/>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599"/>
    <w:rsid w:val="00060873"/>
    <w:rsid w:val="00060FDB"/>
    <w:rsid w:val="000612C5"/>
    <w:rsid w:val="00061336"/>
    <w:rsid w:val="00061985"/>
    <w:rsid w:val="00061E26"/>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6C31"/>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0E"/>
    <w:rsid w:val="000839CE"/>
    <w:rsid w:val="00083E97"/>
    <w:rsid w:val="00083EBD"/>
    <w:rsid w:val="00084255"/>
    <w:rsid w:val="00085201"/>
    <w:rsid w:val="00085211"/>
    <w:rsid w:val="00085239"/>
    <w:rsid w:val="0008579B"/>
    <w:rsid w:val="000862BA"/>
    <w:rsid w:val="00086A02"/>
    <w:rsid w:val="00086B50"/>
    <w:rsid w:val="00086C4D"/>
    <w:rsid w:val="00086CF2"/>
    <w:rsid w:val="00086DA1"/>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0C2"/>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94C"/>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4E6"/>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4C"/>
    <w:rsid w:val="000B76BB"/>
    <w:rsid w:val="000B7D5E"/>
    <w:rsid w:val="000B7D7A"/>
    <w:rsid w:val="000C0061"/>
    <w:rsid w:val="000C0BEF"/>
    <w:rsid w:val="000C1016"/>
    <w:rsid w:val="000C133A"/>
    <w:rsid w:val="000C143C"/>
    <w:rsid w:val="000C16BB"/>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1E36"/>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83C"/>
    <w:rsid w:val="000D59D6"/>
    <w:rsid w:val="000D5A91"/>
    <w:rsid w:val="000D5AB0"/>
    <w:rsid w:val="000D5AD1"/>
    <w:rsid w:val="000D5C0C"/>
    <w:rsid w:val="000D5E4D"/>
    <w:rsid w:val="000D5F11"/>
    <w:rsid w:val="000D697E"/>
    <w:rsid w:val="000D6B62"/>
    <w:rsid w:val="000D6E96"/>
    <w:rsid w:val="000D713B"/>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23"/>
    <w:rsid w:val="000F1CF3"/>
    <w:rsid w:val="000F203A"/>
    <w:rsid w:val="000F20CD"/>
    <w:rsid w:val="000F21E3"/>
    <w:rsid w:val="000F2775"/>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492"/>
    <w:rsid w:val="000F77C9"/>
    <w:rsid w:val="00100097"/>
    <w:rsid w:val="001000E9"/>
    <w:rsid w:val="00100169"/>
    <w:rsid w:val="001001C4"/>
    <w:rsid w:val="0010067A"/>
    <w:rsid w:val="00100880"/>
    <w:rsid w:val="0010088C"/>
    <w:rsid w:val="00100CA1"/>
    <w:rsid w:val="00101436"/>
    <w:rsid w:val="00101489"/>
    <w:rsid w:val="00101513"/>
    <w:rsid w:val="00101A0E"/>
    <w:rsid w:val="00101ACE"/>
    <w:rsid w:val="00101C0F"/>
    <w:rsid w:val="00102147"/>
    <w:rsid w:val="001021B6"/>
    <w:rsid w:val="00102D2E"/>
    <w:rsid w:val="0010341A"/>
    <w:rsid w:val="00103658"/>
    <w:rsid w:val="0010366C"/>
    <w:rsid w:val="00103F17"/>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EC9"/>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DAB"/>
    <w:rsid w:val="00115F76"/>
    <w:rsid w:val="0011677E"/>
    <w:rsid w:val="00116C09"/>
    <w:rsid w:val="00116EBA"/>
    <w:rsid w:val="00116F22"/>
    <w:rsid w:val="00117514"/>
    <w:rsid w:val="00117957"/>
    <w:rsid w:val="00117B90"/>
    <w:rsid w:val="0012022B"/>
    <w:rsid w:val="001202A3"/>
    <w:rsid w:val="001203DB"/>
    <w:rsid w:val="00120525"/>
    <w:rsid w:val="0012079F"/>
    <w:rsid w:val="001207F3"/>
    <w:rsid w:val="00120C4E"/>
    <w:rsid w:val="00120D2A"/>
    <w:rsid w:val="00121897"/>
    <w:rsid w:val="00121AF7"/>
    <w:rsid w:val="00121E20"/>
    <w:rsid w:val="00121FDE"/>
    <w:rsid w:val="00121FF9"/>
    <w:rsid w:val="00122581"/>
    <w:rsid w:val="00122842"/>
    <w:rsid w:val="00122EB3"/>
    <w:rsid w:val="00123236"/>
    <w:rsid w:val="0012343D"/>
    <w:rsid w:val="0012345C"/>
    <w:rsid w:val="001235C4"/>
    <w:rsid w:val="001238F6"/>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5B12"/>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723"/>
    <w:rsid w:val="00130953"/>
    <w:rsid w:val="00130EFD"/>
    <w:rsid w:val="00130F15"/>
    <w:rsid w:val="00131443"/>
    <w:rsid w:val="00131683"/>
    <w:rsid w:val="001316D9"/>
    <w:rsid w:val="00131AC6"/>
    <w:rsid w:val="00131B2C"/>
    <w:rsid w:val="00131D29"/>
    <w:rsid w:val="001320F7"/>
    <w:rsid w:val="001321CE"/>
    <w:rsid w:val="001322B0"/>
    <w:rsid w:val="00132692"/>
    <w:rsid w:val="00132767"/>
    <w:rsid w:val="00132917"/>
    <w:rsid w:val="00132A30"/>
    <w:rsid w:val="00132B28"/>
    <w:rsid w:val="00132D74"/>
    <w:rsid w:val="00132E7E"/>
    <w:rsid w:val="0013334C"/>
    <w:rsid w:val="0013344F"/>
    <w:rsid w:val="0013359C"/>
    <w:rsid w:val="001335B1"/>
    <w:rsid w:val="00133751"/>
    <w:rsid w:val="00133CA0"/>
    <w:rsid w:val="00133EBD"/>
    <w:rsid w:val="001345D5"/>
    <w:rsid w:val="001348C5"/>
    <w:rsid w:val="00135015"/>
    <w:rsid w:val="00135095"/>
    <w:rsid w:val="001352A6"/>
    <w:rsid w:val="00135829"/>
    <w:rsid w:val="001358A7"/>
    <w:rsid w:val="001358F4"/>
    <w:rsid w:val="00135F7B"/>
    <w:rsid w:val="0013612A"/>
    <w:rsid w:val="00136998"/>
    <w:rsid w:val="00136AAD"/>
    <w:rsid w:val="00136BA1"/>
    <w:rsid w:val="00136DF8"/>
    <w:rsid w:val="00137280"/>
    <w:rsid w:val="00137288"/>
    <w:rsid w:val="00137480"/>
    <w:rsid w:val="001376F7"/>
    <w:rsid w:val="001377C3"/>
    <w:rsid w:val="00137A97"/>
    <w:rsid w:val="00140608"/>
    <w:rsid w:val="0014067B"/>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5"/>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92B"/>
    <w:rsid w:val="00151BF4"/>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3B6"/>
    <w:rsid w:val="001544AB"/>
    <w:rsid w:val="00154620"/>
    <w:rsid w:val="00154A24"/>
    <w:rsid w:val="00154B50"/>
    <w:rsid w:val="00154E96"/>
    <w:rsid w:val="001557BF"/>
    <w:rsid w:val="00155F7A"/>
    <w:rsid w:val="00156260"/>
    <w:rsid w:val="0015674F"/>
    <w:rsid w:val="00157966"/>
    <w:rsid w:val="0016019C"/>
    <w:rsid w:val="00160674"/>
    <w:rsid w:val="00160786"/>
    <w:rsid w:val="0016079B"/>
    <w:rsid w:val="001617E7"/>
    <w:rsid w:val="001617FB"/>
    <w:rsid w:val="001618A3"/>
    <w:rsid w:val="00161F89"/>
    <w:rsid w:val="0016207A"/>
    <w:rsid w:val="00162262"/>
    <w:rsid w:val="00162BD5"/>
    <w:rsid w:val="00162CF1"/>
    <w:rsid w:val="00162F82"/>
    <w:rsid w:val="001630E4"/>
    <w:rsid w:val="001639BC"/>
    <w:rsid w:val="001639E6"/>
    <w:rsid w:val="00163AFC"/>
    <w:rsid w:val="001643E2"/>
    <w:rsid w:val="00164452"/>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678DC"/>
    <w:rsid w:val="00170397"/>
    <w:rsid w:val="001706E4"/>
    <w:rsid w:val="001708B1"/>
    <w:rsid w:val="001708D0"/>
    <w:rsid w:val="0017100C"/>
    <w:rsid w:val="00171730"/>
    <w:rsid w:val="001718B8"/>
    <w:rsid w:val="00171944"/>
    <w:rsid w:val="00171D7E"/>
    <w:rsid w:val="00171F14"/>
    <w:rsid w:val="0017226B"/>
    <w:rsid w:val="00172903"/>
    <w:rsid w:val="001729E1"/>
    <w:rsid w:val="00172A5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23"/>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0D"/>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9C"/>
    <w:rsid w:val="001B26EE"/>
    <w:rsid w:val="001B2993"/>
    <w:rsid w:val="001B2F96"/>
    <w:rsid w:val="001B337E"/>
    <w:rsid w:val="001B33B4"/>
    <w:rsid w:val="001B345B"/>
    <w:rsid w:val="001B3754"/>
    <w:rsid w:val="001B3FD9"/>
    <w:rsid w:val="001B446B"/>
    <w:rsid w:val="001B46A1"/>
    <w:rsid w:val="001B4EAF"/>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6EDA"/>
    <w:rsid w:val="001C70EF"/>
    <w:rsid w:val="001C715F"/>
    <w:rsid w:val="001C7185"/>
    <w:rsid w:val="001C7AB6"/>
    <w:rsid w:val="001C7D60"/>
    <w:rsid w:val="001C7F47"/>
    <w:rsid w:val="001D006C"/>
    <w:rsid w:val="001D0578"/>
    <w:rsid w:val="001D0593"/>
    <w:rsid w:val="001D1258"/>
    <w:rsid w:val="001D1265"/>
    <w:rsid w:val="001D13B0"/>
    <w:rsid w:val="001D15D4"/>
    <w:rsid w:val="001D19F8"/>
    <w:rsid w:val="001D1CFF"/>
    <w:rsid w:val="001D2B3C"/>
    <w:rsid w:val="001D2B9E"/>
    <w:rsid w:val="001D2BB2"/>
    <w:rsid w:val="001D2E5B"/>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CE8"/>
    <w:rsid w:val="001E1D3C"/>
    <w:rsid w:val="001E1DDE"/>
    <w:rsid w:val="001E1FD2"/>
    <w:rsid w:val="001E220A"/>
    <w:rsid w:val="001E2503"/>
    <w:rsid w:val="001E251E"/>
    <w:rsid w:val="001E266E"/>
    <w:rsid w:val="001E2EEF"/>
    <w:rsid w:val="001E3188"/>
    <w:rsid w:val="001E31D1"/>
    <w:rsid w:val="001E32BE"/>
    <w:rsid w:val="001E36FC"/>
    <w:rsid w:val="001E3A45"/>
    <w:rsid w:val="001E3D0D"/>
    <w:rsid w:val="001E3F7F"/>
    <w:rsid w:val="001E4082"/>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110"/>
    <w:rsid w:val="0020020C"/>
    <w:rsid w:val="00200A92"/>
    <w:rsid w:val="00200BF9"/>
    <w:rsid w:val="002018D7"/>
    <w:rsid w:val="00201C7E"/>
    <w:rsid w:val="00201D85"/>
    <w:rsid w:val="00201E31"/>
    <w:rsid w:val="00202201"/>
    <w:rsid w:val="002024D0"/>
    <w:rsid w:val="002029C7"/>
    <w:rsid w:val="00202B8E"/>
    <w:rsid w:val="00202D2E"/>
    <w:rsid w:val="00203159"/>
    <w:rsid w:val="0020359C"/>
    <w:rsid w:val="00203A6E"/>
    <w:rsid w:val="00203F00"/>
    <w:rsid w:val="00203F5C"/>
    <w:rsid w:val="002043A4"/>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B03"/>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1E8E"/>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816"/>
    <w:rsid w:val="00237A90"/>
    <w:rsid w:val="00237B76"/>
    <w:rsid w:val="00237C6F"/>
    <w:rsid w:val="00237D22"/>
    <w:rsid w:val="00240872"/>
    <w:rsid w:val="00240B75"/>
    <w:rsid w:val="00240B7D"/>
    <w:rsid w:val="00240F76"/>
    <w:rsid w:val="00240FA9"/>
    <w:rsid w:val="0024103F"/>
    <w:rsid w:val="002419AB"/>
    <w:rsid w:val="00241C7B"/>
    <w:rsid w:val="002421F2"/>
    <w:rsid w:val="0024224E"/>
    <w:rsid w:val="002427A8"/>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16F"/>
    <w:rsid w:val="0024656A"/>
    <w:rsid w:val="00246830"/>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833"/>
    <w:rsid w:val="00256F02"/>
    <w:rsid w:val="002571C8"/>
    <w:rsid w:val="002572F1"/>
    <w:rsid w:val="00257500"/>
    <w:rsid w:val="00257564"/>
    <w:rsid w:val="00257741"/>
    <w:rsid w:val="00257A62"/>
    <w:rsid w:val="00260156"/>
    <w:rsid w:val="0026075E"/>
    <w:rsid w:val="00260B83"/>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61B"/>
    <w:rsid w:val="00271736"/>
    <w:rsid w:val="00271738"/>
    <w:rsid w:val="0027193C"/>
    <w:rsid w:val="00271B1E"/>
    <w:rsid w:val="00271EEF"/>
    <w:rsid w:val="002720F3"/>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472"/>
    <w:rsid w:val="0028052D"/>
    <w:rsid w:val="00280684"/>
    <w:rsid w:val="0028073A"/>
    <w:rsid w:val="00280851"/>
    <w:rsid w:val="00280960"/>
    <w:rsid w:val="002813DE"/>
    <w:rsid w:val="002815F9"/>
    <w:rsid w:val="002817B4"/>
    <w:rsid w:val="00281847"/>
    <w:rsid w:val="002825CE"/>
    <w:rsid w:val="002826D0"/>
    <w:rsid w:val="00282917"/>
    <w:rsid w:val="002829E8"/>
    <w:rsid w:val="00283181"/>
    <w:rsid w:val="0028356B"/>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2D52"/>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29"/>
    <w:rsid w:val="002A77C7"/>
    <w:rsid w:val="002A7A6A"/>
    <w:rsid w:val="002A7AB4"/>
    <w:rsid w:val="002A7B72"/>
    <w:rsid w:val="002B0740"/>
    <w:rsid w:val="002B07BF"/>
    <w:rsid w:val="002B0805"/>
    <w:rsid w:val="002B0C99"/>
    <w:rsid w:val="002B0EDA"/>
    <w:rsid w:val="002B10F9"/>
    <w:rsid w:val="002B112E"/>
    <w:rsid w:val="002B1216"/>
    <w:rsid w:val="002B151A"/>
    <w:rsid w:val="002B193B"/>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5EA"/>
    <w:rsid w:val="002C26B0"/>
    <w:rsid w:val="002C27F3"/>
    <w:rsid w:val="002C29D0"/>
    <w:rsid w:val="002C2E8A"/>
    <w:rsid w:val="002C2FCD"/>
    <w:rsid w:val="002C36D3"/>
    <w:rsid w:val="002C3AE4"/>
    <w:rsid w:val="002C3B99"/>
    <w:rsid w:val="002C3C99"/>
    <w:rsid w:val="002C3E89"/>
    <w:rsid w:val="002C4110"/>
    <w:rsid w:val="002C44DB"/>
    <w:rsid w:val="002C453F"/>
    <w:rsid w:val="002C47BD"/>
    <w:rsid w:val="002C48CE"/>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060"/>
    <w:rsid w:val="002E679D"/>
    <w:rsid w:val="002E6994"/>
    <w:rsid w:val="002E7321"/>
    <w:rsid w:val="002E7894"/>
    <w:rsid w:val="002E7FA9"/>
    <w:rsid w:val="002F0045"/>
    <w:rsid w:val="002F00F0"/>
    <w:rsid w:val="002F025B"/>
    <w:rsid w:val="002F03ED"/>
    <w:rsid w:val="002F067E"/>
    <w:rsid w:val="002F0684"/>
    <w:rsid w:val="002F0A7C"/>
    <w:rsid w:val="002F0ADB"/>
    <w:rsid w:val="002F0CAC"/>
    <w:rsid w:val="002F0D24"/>
    <w:rsid w:val="002F1246"/>
    <w:rsid w:val="002F1B45"/>
    <w:rsid w:val="002F26BB"/>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ED1"/>
    <w:rsid w:val="00306FB7"/>
    <w:rsid w:val="00307A18"/>
    <w:rsid w:val="00307B27"/>
    <w:rsid w:val="00307CFD"/>
    <w:rsid w:val="00307F28"/>
    <w:rsid w:val="003100A1"/>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3E1B"/>
    <w:rsid w:val="003141C2"/>
    <w:rsid w:val="00314629"/>
    <w:rsid w:val="00314914"/>
    <w:rsid w:val="00314DA7"/>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A74"/>
    <w:rsid w:val="003259EB"/>
    <w:rsid w:val="00326160"/>
    <w:rsid w:val="00326251"/>
    <w:rsid w:val="0032649F"/>
    <w:rsid w:val="003264A2"/>
    <w:rsid w:val="0032695B"/>
    <w:rsid w:val="00326BBA"/>
    <w:rsid w:val="003271E3"/>
    <w:rsid w:val="003272D0"/>
    <w:rsid w:val="003273DE"/>
    <w:rsid w:val="00327470"/>
    <w:rsid w:val="003278C7"/>
    <w:rsid w:val="0032793B"/>
    <w:rsid w:val="00327AEA"/>
    <w:rsid w:val="00330533"/>
    <w:rsid w:val="00330700"/>
    <w:rsid w:val="003308C4"/>
    <w:rsid w:val="00330990"/>
    <w:rsid w:val="00330B79"/>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7B6"/>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76"/>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44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A0B"/>
    <w:rsid w:val="00373C10"/>
    <w:rsid w:val="00373E10"/>
    <w:rsid w:val="00373EFE"/>
    <w:rsid w:val="00373F2C"/>
    <w:rsid w:val="0037406C"/>
    <w:rsid w:val="003741D2"/>
    <w:rsid w:val="0037424D"/>
    <w:rsid w:val="003744CB"/>
    <w:rsid w:val="0037456D"/>
    <w:rsid w:val="00374802"/>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D2B"/>
    <w:rsid w:val="003802B0"/>
    <w:rsid w:val="0038084F"/>
    <w:rsid w:val="00380892"/>
    <w:rsid w:val="00380AE2"/>
    <w:rsid w:val="00380C72"/>
    <w:rsid w:val="00381576"/>
    <w:rsid w:val="00381685"/>
    <w:rsid w:val="003821E7"/>
    <w:rsid w:val="0038232C"/>
    <w:rsid w:val="003824F4"/>
    <w:rsid w:val="00382901"/>
    <w:rsid w:val="00382903"/>
    <w:rsid w:val="00383246"/>
    <w:rsid w:val="00383388"/>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41E"/>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ACD"/>
    <w:rsid w:val="00392DB8"/>
    <w:rsid w:val="00393B78"/>
    <w:rsid w:val="003940DD"/>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24A"/>
    <w:rsid w:val="0039665F"/>
    <w:rsid w:val="00396850"/>
    <w:rsid w:val="00396BDA"/>
    <w:rsid w:val="00397424"/>
    <w:rsid w:val="003975E6"/>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AD7"/>
    <w:rsid w:val="003A1DD5"/>
    <w:rsid w:val="003A1F99"/>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0C"/>
    <w:rsid w:val="003C1CFF"/>
    <w:rsid w:val="003C1EC9"/>
    <w:rsid w:val="003C226A"/>
    <w:rsid w:val="003C228C"/>
    <w:rsid w:val="003C270B"/>
    <w:rsid w:val="003C2748"/>
    <w:rsid w:val="003C2A00"/>
    <w:rsid w:val="003C2C9D"/>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C08"/>
    <w:rsid w:val="003D2D70"/>
    <w:rsid w:val="003D2F60"/>
    <w:rsid w:val="003D3201"/>
    <w:rsid w:val="003D34D8"/>
    <w:rsid w:val="003D3666"/>
    <w:rsid w:val="003D39A6"/>
    <w:rsid w:val="003D3BD7"/>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794"/>
    <w:rsid w:val="003E187F"/>
    <w:rsid w:val="003E18AD"/>
    <w:rsid w:val="003E19B9"/>
    <w:rsid w:val="003E1CF4"/>
    <w:rsid w:val="003E240A"/>
    <w:rsid w:val="003E2BF4"/>
    <w:rsid w:val="003E2CCC"/>
    <w:rsid w:val="003E2EB5"/>
    <w:rsid w:val="003E34E1"/>
    <w:rsid w:val="003E3524"/>
    <w:rsid w:val="003E3716"/>
    <w:rsid w:val="003E3C5B"/>
    <w:rsid w:val="003E3D11"/>
    <w:rsid w:val="003E3EA7"/>
    <w:rsid w:val="003E40C9"/>
    <w:rsid w:val="003E4155"/>
    <w:rsid w:val="003E4241"/>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07"/>
    <w:rsid w:val="004024AB"/>
    <w:rsid w:val="00402F2C"/>
    <w:rsid w:val="0040303D"/>
    <w:rsid w:val="0040322B"/>
    <w:rsid w:val="004032B9"/>
    <w:rsid w:val="004033DA"/>
    <w:rsid w:val="0040379F"/>
    <w:rsid w:val="00403805"/>
    <w:rsid w:val="00403824"/>
    <w:rsid w:val="00403982"/>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774"/>
    <w:rsid w:val="00416A66"/>
    <w:rsid w:val="00416DCB"/>
    <w:rsid w:val="004171A9"/>
    <w:rsid w:val="004175BF"/>
    <w:rsid w:val="004175D6"/>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5C2"/>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D06"/>
    <w:rsid w:val="00454F01"/>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EE2"/>
    <w:rsid w:val="00473F1D"/>
    <w:rsid w:val="00473F5F"/>
    <w:rsid w:val="0047410D"/>
    <w:rsid w:val="00474144"/>
    <w:rsid w:val="00474A1E"/>
    <w:rsid w:val="00474D02"/>
    <w:rsid w:val="00474FB4"/>
    <w:rsid w:val="0047510A"/>
    <w:rsid w:val="00475131"/>
    <w:rsid w:val="00475260"/>
    <w:rsid w:val="004755D5"/>
    <w:rsid w:val="0047574D"/>
    <w:rsid w:val="00475A1B"/>
    <w:rsid w:val="00475D3E"/>
    <w:rsid w:val="00475E50"/>
    <w:rsid w:val="00475F90"/>
    <w:rsid w:val="004768BD"/>
    <w:rsid w:val="00476AB6"/>
    <w:rsid w:val="00476D8B"/>
    <w:rsid w:val="00476EAE"/>
    <w:rsid w:val="00476FC4"/>
    <w:rsid w:val="004770B0"/>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1D7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27"/>
    <w:rsid w:val="004862DE"/>
    <w:rsid w:val="00486C90"/>
    <w:rsid w:val="00486CF2"/>
    <w:rsid w:val="00486EC5"/>
    <w:rsid w:val="00487056"/>
    <w:rsid w:val="00487442"/>
    <w:rsid w:val="004877EB"/>
    <w:rsid w:val="00487BB8"/>
    <w:rsid w:val="00487E55"/>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5CE"/>
    <w:rsid w:val="0049681D"/>
    <w:rsid w:val="00496BEF"/>
    <w:rsid w:val="00497612"/>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279"/>
    <w:rsid w:val="004A3424"/>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58C"/>
    <w:rsid w:val="004B26FA"/>
    <w:rsid w:val="004B2700"/>
    <w:rsid w:val="004B275B"/>
    <w:rsid w:val="004B2B31"/>
    <w:rsid w:val="004B2C33"/>
    <w:rsid w:val="004B2CDB"/>
    <w:rsid w:val="004B3A42"/>
    <w:rsid w:val="004B3C3F"/>
    <w:rsid w:val="004B4433"/>
    <w:rsid w:val="004B45A2"/>
    <w:rsid w:val="004B4A0F"/>
    <w:rsid w:val="004B4AA2"/>
    <w:rsid w:val="004B4BE9"/>
    <w:rsid w:val="004B4C67"/>
    <w:rsid w:val="004B50E0"/>
    <w:rsid w:val="004B55EC"/>
    <w:rsid w:val="004B55EE"/>
    <w:rsid w:val="004B58CA"/>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13D"/>
    <w:rsid w:val="004C5191"/>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7F3"/>
    <w:rsid w:val="004D2BFC"/>
    <w:rsid w:val="004D2E1A"/>
    <w:rsid w:val="004D2E57"/>
    <w:rsid w:val="004D3064"/>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25F"/>
    <w:rsid w:val="004E03BE"/>
    <w:rsid w:val="004E0CD0"/>
    <w:rsid w:val="004E1260"/>
    <w:rsid w:val="004E191F"/>
    <w:rsid w:val="004E1CBB"/>
    <w:rsid w:val="004E1D07"/>
    <w:rsid w:val="004E1F73"/>
    <w:rsid w:val="004E209D"/>
    <w:rsid w:val="004E21D3"/>
    <w:rsid w:val="004E27DC"/>
    <w:rsid w:val="004E2A75"/>
    <w:rsid w:val="004E2AC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E7E7D"/>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2B46"/>
    <w:rsid w:val="005138DA"/>
    <w:rsid w:val="00513B39"/>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1786A"/>
    <w:rsid w:val="0052001B"/>
    <w:rsid w:val="005205C8"/>
    <w:rsid w:val="005205D5"/>
    <w:rsid w:val="00521D65"/>
    <w:rsid w:val="005221A4"/>
    <w:rsid w:val="005227EA"/>
    <w:rsid w:val="00523366"/>
    <w:rsid w:val="00523E18"/>
    <w:rsid w:val="00523F32"/>
    <w:rsid w:val="0052408A"/>
    <w:rsid w:val="00524161"/>
    <w:rsid w:val="0052422C"/>
    <w:rsid w:val="005244D5"/>
    <w:rsid w:val="005245A9"/>
    <w:rsid w:val="005248C4"/>
    <w:rsid w:val="00524AD1"/>
    <w:rsid w:val="00524B43"/>
    <w:rsid w:val="00524D2A"/>
    <w:rsid w:val="00524E6A"/>
    <w:rsid w:val="005251DA"/>
    <w:rsid w:val="00525407"/>
    <w:rsid w:val="00525932"/>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3995"/>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61"/>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04"/>
    <w:rsid w:val="0056134D"/>
    <w:rsid w:val="005617E8"/>
    <w:rsid w:val="00561A95"/>
    <w:rsid w:val="00561BF6"/>
    <w:rsid w:val="00561E4A"/>
    <w:rsid w:val="00561F6A"/>
    <w:rsid w:val="005625FE"/>
    <w:rsid w:val="00562CDC"/>
    <w:rsid w:val="0056332A"/>
    <w:rsid w:val="005637E4"/>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592"/>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7BB"/>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1B3"/>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A8D"/>
    <w:rsid w:val="005A1D03"/>
    <w:rsid w:val="005A2174"/>
    <w:rsid w:val="005A2229"/>
    <w:rsid w:val="005A256C"/>
    <w:rsid w:val="005A2BB3"/>
    <w:rsid w:val="005A320D"/>
    <w:rsid w:val="005A36E3"/>
    <w:rsid w:val="005A3A31"/>
    <w:rsid w:val="005A3AF1"/>
    <w:rsid w:val="005A3B1E"/>
    <w:rsid w:val="005A40D5"/>
    <w:rsid w:val="005A42B0"/>
    <w:rsid w:val="005A4324"/>
    <w:rsid w:val="005A438E"/>
    <w:rsid w:val="005A4999"/>
    <w:rsid w:val="005A4C36"/>
    <w:rsid w:val="005A4E38"/>
    <w:rsid w:val="005A50CE"/>
    <w:rsid w:val="005A55F9"/>
    <w:rsid w:val="005A588D"/>
    <w:rsid w:val="005A5965"/>
    <w:rsid w:val="005A59CF"/>
    <w:rsid w:val="005A674D"/>
    <w:rsid w:val="005A6A3A"/>
    <w:rsid w:val="005A6B80"/>
    <w:rsid w:val="005A6FA1"/>
    <w:rsid w:val="005A76BA"/>
    <w:rsid w:val="005A7F72"/>
    <w:rsid w:val="005B0604"/>
    <w:rsid w:val="005B1C68"/>
    <w:rsid w:val="005B1F54"/>
    <w:rsid w:val="005B2B0A"/>
    <w:rsid w:val="005B2B68"/>
    <w:rsid w:val="005B2D4D"/>
    <w:rsid w:val="005B2EB8"/>
    <w:rsid w:val="005B321E"/>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57F"/>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DB3"/>
    <w:rsid w:val="005D5E46"/>
    <w:rsid w:val="005D609E"/>
    <w:rsid w:val="005D610E"/>
    <w:rsid w:val="005D64A5"/>
    <w:rsid w:val="005D6929"/>
    <w:rsid w:val="005D6B30"/>
    <w:rsid w:val="005D6BA3"/>
    <w:rsid w:val="005D6E1C"/>
    <w:rsid w:val="005D73CA"/>
    <w:rsid w:val="005D7631"/>
    <w:rsid w:val="005D7741"/>
    <w:rsid w:val="005D7E04"/>
    <w:rsid w:val="005E0082"/>
    <w:rsid w:val="005E0128"/>
    <w:rsid w:val="005E02D6"/>
    <w:rsid w:val="005E11F9"/>
    <w:rsid w:val="005E1385"/>
    <w:rsid w:val="005E1393"/>
    <w:rsid w:val="005E15A4"/>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A1C"/>
    <w:rsid w:val="005F509E"/>
    <w:rsid w:val="005F51DA"/>
    <w:rsid w:val="005F54E0"/>
    <w:rsid w:val="005F5969"/>
    <w:rsid w:val="005F660A"/>
    <w:rsid w:val="005F6697"/>
    <w:rsid w:val="005F6C51"/>
    <w:rsid w:val="005F6F9C"/>
    <w:rsid w:val="005F6FFC"/>
    <w:rsid w:val="005F7504"/>
    <w:rsid w:val="005F7F11"/>
    <w:rsid w:val="00600436"/>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0D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CF1"/>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581"/>
    <w:rsid w:val="00643769"/>
    <w:rsid w:val="006437A9"/>
    <w:rsid w:val="00643973"/>
    <w:rsid w:val="00644200"/>
    <w:rsid w:val="0064428B"/>
    <w:rsid w:val="00644511"/>
    <w:rsid w:val="0064486C"/>
    <w:rsid w:val="00644E60"/>
    <w:rsid w:val="0064552C"/>
    <w:rsid w:val="00645728"/>
    <w:rsid w:val="006457B7"/>
    <w:rsid w:val="00645C7B"/>
    <w:rsid w:val="00646556"/>
    <w:rsid w:val="006473FF"/>
    <w:rsid w:val="00647CB3"/>
    <w:rsid w:val="00647D60"/>
    <w:rsid w:val="00650150"/>
    <w:rsid w:val="00650854"/>
    <w:rsid w:val="006508EE"/>
    <w:rsid w:val="00650CF1"/>
    <w:rsid w:val="00650D1E"/>
    <w:rsid w:val="00650E6C"/>
    <w:rsid w:val="00650EB8"/>
    <w:rsid w:val="00650F7C"/>
    <w:rsid w:val="00650FBE"/>
    <w:rsid w:val="006513D5"/>
    <w:rsid w:val="006518B1"/>
    <w:rsid w:val="00651AD0"/>
    <w:rsid w:val="00651AD3"/>
    <w:rsid w:val="00651FA0"/>
    <w:rsid w:val="006527A3"/>
    <w:rsid w:val="006529BA"/>
    <w:rsid w:val="006529CE"/>
    <w:rsid w:val="00652BB4"/>
    <w:rsid w:val="006530FC"/>
    <w:rsid w:val="00653273"/>
    <w:rsid w:val="00653365"/>
    <w:rsid w:val="0065373E"/>
    <w:rsid w:val="00653748"/>
    <w:rsid w:val="006539B5"/>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20"/>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D8F"/>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DD2"/>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737"/>
    <w:rsid w:val="00682A4A"/>
    <w:rsid w:val="00682DA1"/>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CA8"/>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2B2"/>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064"/>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5FC"/>
    <w:rsid w:val="006C1B3F"/>
    <w:rsid w:val="006C1D3E"/>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A7"/>
    <w:rsid w:val="006D19ED"/>
    <w:rsid w:val="006D1A23"/>
    <w:rsid w:val="006D1B2E"/>
    <w:rsid w:val="006D1CF3"/>
    <w:rsid w:val="006D1DEC"/>
    <w:rsid w:val="006D1F1A"/>
    <w:rsid w:val="006D21FF"/>
    <w:rsid w:val="006D2357"/>
    <w:rsid w:val="006D2440"/>
    <w:rsid w:val="006D2627"/>
    <w:rsid w:val="006D31AF"/>
    <w:rsid w:val="006D31DD"/>
    <w:rsid w:val="006D3284"/>
    <w:rsid w:val="006D43BD"/>
    <w:rsid w:val="006D47AB"/>
    <w:rsid w:val="006D492A"/>
    <w:rsid w:val="006D493C"/>
    <w:rsid w:val="006D4ED6"/>
    <w:rsid w:val="006D4F5A"/>
    <w:rsid w:val="006D4F72"/>
    <w:rsid w:val="006D5067"/>
    <w:rsid w:val="006D5691"/>
    <w:rsid w:val="006D58A9"/>
    <w:rsid w:val="006D59BF"/>
    <w:rsid w:val="006D5AE7"/>
    <w:rsid w:val="006D5B2C"/>
    <w:rsid w:val="006D5EC2"/>
    <w:rsid w:val="006D5FEF"/>
    <w:rsid w:val="006D60D5"/>
    <w:rsid w:val="006D615D"/>
    <w:rsid w:val="006D6ADC"/>
    <w:rsid w:val="006D6D22"/>
    <w:rsid w:val="006D6E0D"/>
    <w:rsid w:val="006D6FD3"/>
    <w:rsid w:val="006D7598"/>
    <w:rsid w:val="006D7B93"/>
    <w:rsid w:val="006D7DAD"/>
    <w:rsid w:val="006E02A1"/>
    <w:rsid w:val="006E0AB3"/>
    <w:rsid w:val="006E0B16"/>
    <w:rsid w:val="006E0E60"/>
    <w:rsid w:val="006E0ED0"/>
    <w:rsid w:val="006E0FB7"/>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4C3"/>
    <w:rsid w:val="006F291E"/>
    <w:rsid w:val="006F2ADA"/>
    <w:rsid w:val="006F2E21"/>
    <w:rsid w:val="006F3052"/>
    <w:rsid w:val="006F314D"/>
    <w:rsid w:val="006F31A7"/>
    <w:rsid w:val="006F3738"/>
    <w:rsid w:val="006F3B01"/>
    <w:rsid w:val="006F3BDF"/>
    <w:rsid w:val="006F4072"/>
    <w:rsid w:val="006F407D"/>
    <w:rsid w:val="006F4145"/>
    <w:rsid w:val="006F4189"/>
    <w:rsid w:val="006F4862"/>
    <w:rsid w:val="006F4A19"/>
    <w:rsid w:val="006F4B0E"/>
    <w:rsid w:val="006F4C7E"/>
    <w:rsid w:val="006F4D51"/>
    <w:rsid w:val="006F4E88"/>
    <w:rsid w:val="006F557B"/>
    <w:rsid w:val="006F59CD"/>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FC4"/>
    <w:rsid w:val="007110FE"/>
    <w:rsid w:val="00711139"/>
    <w:rsid w:val="0071134C"/>
    <w:rsid w:val="00711760"/>
    <w:rsid w:val="0071196B"/>
    <w:rsid w:val="00711A0F"/>
    <w:rsid w:val="00711AE4"/>
    <w:rsid w:val="00711D10"/>
    <w:rsid w:val="00711D73"/>
    <w:rsid w:val="00711E0C"/>
    <w:rsid w:val="00712A0F"/>
    <w:rsid w:val="00712FDB"/>
    <w:rsid w:val="00713148"/>
    <w:rsid w:val="0071374D"/>
    <w:rsid w:val="00713B48"/>
    <w:rsid w:val="00713CA2"/>
    <w:rsid w:val="00713FFB"/>
    <w:rsid w:val="00714201"/>
    <w:rsid w:val="00714312"/>
    <w:rsid w:val="007143BE"/>
    <w:rsid w:val="00714722"/>
    <w:rsid w:val="00714A8C"/>
    <w:rsid w:val="00714D6A"/>
    <w:rsid w:val="00715A0C"/>
    <w:rsid w:val="00715F49"/>
    <w:rsid w:val="007161E7"/>
    <w:rsid w:val="007162F2"/>
    <w:rsid w:val="007163BF"/>
    <w:rsid w:val="0071649C"/>
    <w:rsid w:val="00716C3F"/>
    <w:rsid w:val="00716CD3"/>
    <w:rsid w:val="00716F80"/>
    <w:rsid w:val="00716FB1"/>
    <w:rsid w:val="00716FC0"/>
    <w:rsid w:val="00717267"/>
    <w:rsid w:val="007178EE"/>
    <w:rsid w:val="00717B0A"/>
    <w:rsid w:val="00720243"/>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0B"/>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733"/>
    <w:rsid w:val="00732E7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137"/>
    <w:rsid w:val="00740698"/>
    <w:rsid w:val="007406C0"/>
    <w:rsid w:val="007409E8"/>
    <w:rsid w:val="00740AC1"/>
    <w:rsid w:val="00740B3A"/>
    <w:rsid w:val="00740CD3"/>
    <w:rsid w:val="0074108B"/>
    <w:rsid w:val="0074175F"/>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6B7C"/>
    <w:rsid w:val="00747446"/>
    <w:rsid w:val="00747581"/>
    <w:rsid w:val="00747BD8"/>
    <w:rsid w:val="00747CDD"/>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AEA"/>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D1"/>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581"/>
    <w:rsid w:val="00764832"/>
    <w:rsid w:val="00764E4E"/>
    <w:rsid w:val="00764EB8"/>
    <w:rsid w:val="00765098"/>
    <w:rsid w:val="00765391"/>
    <w:rsid w:val="007657DC"/>
    <w:rsid w:val="0076598E"/>
    <w:rsid w:val="00765A64"/>
    <w:rsid w:val="00765FDC"/>
    <w:rsid w:val="00766559"/>
    <w:rsid w:val="007667D5"/>
    <w:rsid w:val="00766B0E"/>
    <w:rsid w:val="00766BFB"/>
    <w:rsid w:val="00766C2E"/>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8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A31"/>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033"/>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4CB7"/>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3B4"/>
    <w:rsid w:val="007D357E"/>
    <w:rsid w:val="007D3889"/>
    <w:rsid w:val="007D39A2"/>
    <w:rsid w:val="007D39D7"/>
    <w:rsid w:val="007D3F34"/>
    <w:rsid w:val="007D4146"/>
    <w:rsid w:val="007D42FB"/>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3D"/>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625"/>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61A"/>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69"/>
    <w:rsid w:val="008143A0"/>
    <w:rsid w:val="00814780"/>
    <w:rsid w:val="00814834"/>
    <w:rsid w:val="00814A14"/>
    <w:rsid w:val="00814A1F"/>
    <w:rsid w:val="00814B38"/>
    <w:rsid w:val="00814B65"/>
    <w:rsid w:val="00814C34"/>
    <w:rsid w:val="00814D2B"/>
    <w:rsid w:val="008154B6"/>
    <w:rsid w:val="008155E8"/>
    <w:rsid w:val="00815706"/>
    <w:rsid w:val="00815867"/>
    <w:rsid w:val="008159AF"/>
    <w:rsid w:val="00815F85"/>
    <w:rsid w:val="00816264"/>
    <w:rsid w:val="00816654"/>
    <w:rsid w:val="00816783"/>
    <w:rsid w:val="00816A54"/>
    <w:rsid w:val="00816D94"/>
    <w:rsid w:val="00817508"/>
    <w:rsid w:val="00817636"/>
    <w:rsid w:val="0081787C"/>
    <w:rsid w:val="00817B8F"/>
    <w:rsid w:val="00817C96"/>
    <w:rsid w:val="00817D2A"/>
    <w:rsid w:val="00817F27"/>
    <w:rsid w:val="00820DF1"/>
    <w:rsid w:val="00820FE8"/>
    <w:rsid w:val="00821036"/>
    <w:rsid w:val="0082172C"/>
    <w:rsid w:val="008225A2"/>
    <w:rsid w:val="00822FF9"/>
    <w:rsid w:val="00823335"/>
    <w:rsid w:val="008234E1"/>
    <w:rsid w:val="008237B2"/>
    <w:rsid w:val="00823D4A"/>
    <w:rsid w:val="00823F61"/>
    <w:rsid w:val="0082449E"/>
    <w:rsid w:val="0082453A"/>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40D"/>
    <w:rsid w:val="0083056F"/>
    <w:rsid w:val="0083099E"/>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6CE"/>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7EC"/>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5E3"/>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9C3"/>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410"/>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670"/>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394"/>
    <w:rsid w:val="008B766A"/>
    <w:rsid w:val="008B7919"/>
    <w:rsid w:val="008B7A0E"/>
    <w:rsid w:val="008B7C10"/>
    <w:rsid w:val="008C04BA"/>
    <w:rsid w:val="008C0FB9"/>
    <w:rsid w:val="008C2426"/>
    <w:rsid w:val="008C2453"/>
    <w:rsid w:val="008C26B4"/>
    <w:rsid w:val="008C28BA"/>
    <w:rsid w:val="008C3240"/>
    <w:rsid w:val="008C3519"/>
    <w:rsid w:val="008C3796"/>
    <w:rsid w:val="008C380A"/>
    <w:rsid w:val="008C39F9"/>
    <w:rsid w:val="008C4188"/>
    <w:rsid w:val="008C450A"/>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904"/>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6E3"/>
    <w:rsid w:val="008E6718"/>
    <w:rsid w:val="008E6788"/>
    <w:rsid w:val="008E7DB3"/>
    <w:rsid w:val="008F01AB"/>
    <w:rsid w:val="008F041F"/>
    <w:rsid w:val="008F0460"/>
    <w:rsid w:val="008F0D27"/>
    <w:rsid w:val="008F0D35"/>
    <w:rsid w:val="008F1CF8"/>
    <w:rsid w:val="008F1F85"/>
    <w:rsid w:val="008F2201"/>
    <w:rsid w:val="008F2369"/>
    <w:rsid w:val="008F2595"/>
    <w:rsid w:val="008F25A1"/>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AC6"/>
    <w:rsid w:val="008F6CD0"/>
    <w:rsid w:val="008F6CD1"/>
    <w:rsid w:val="008F6F8A"/>
    <w:rsid w:val="008F71B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D3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C57"/>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AB6"/>
    <w:rsid w:val="00921C9F"/>
    <w:rsid w:val="00921E04"/>
    <w:rsid w:val="00921ED5"/>
    <w:rsid w:val="00921FA1"/>
    <w:rsid w:val="009223E2"/>
    <w:rsid w:val="009223FC"/>
    <w:rsid w:val="009225B6"/>
    <w:rsid w:val="0092286C"/>
    <w:rsid w:val="00922D55"/>
    <w:rsid w:val="00922ECA"/>
    <w:rsid w:val="00923151"/>
    <w:rsid w:val="0092321E"/>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5C6"/>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4FFA"/>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C24"/>
    <w:rsid w:val="00940D85"/>
    <w:rsid w:val="00940DF4"/>
    <w:rsid w:val="00940F45"/>
    <w:rsid w:val="00940FB5"/>
    <w:rsid w:val="0094148B"/>
    <w:rsid w:val="00941A1C"/>
    <w:rsid w:val="00941B97"/>
    <w:rsid w:val="00941CE1"/>
    <w:rsid w:val="00941E13"/>
    <w:rsid w:val="00942BB8"/>
    <w:rsid w:val="00942CDF"/>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2EB"/>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145"/>
    <w:rsid w:val="009672BC"/>
    <w:rsid w:val="0096766C"/>
    <w:rsid w:val="00967851"/>
    <w:rsid w:val="00967B67"/>
    <w:rsid w:val="00967D2D"/>
    <w:rsid w:val="00967D7D"/>
    <w:rsid w:val="00970142"/>
    <w:rsid w:val="00970872"/>
    <w:rsid w:val="00970F7A"/>
    <w:rsid w:val="00970FE3"/>
    <w:rsid w:val="0097115F"/>
    <w:rsid w:val="00971190"/>
    <w:rsid w:val="009712FC"/>
    <w:rsid w:val="009718F0"/>
    <w:rsid w:val="00971EC5"/>
    <w:rsid w:val="00971F6B"/>
    <w:rsid w:val="00971FCC"/>
    <w:rsid w:val="0097298A"/>
    <w:rsid w:val="009729BB"/>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A86"/>
    <w:rsid w:val="009761A9"/>
    <w:rsid w:val="00976E81"/>
    <w:rsid w:val="00977311"/>
    <w:rsid w:val="009775C2"/>
    <w:rsid w:val="00977852"/>
    <w:rsid w:val="009778AB"/>
    <w:rsid w:val="00977B50"/>
    <w:rsid w:val="00980403"/>
    <w:rsid w:val="009804CB"/>
    <w:rsid w:val="009805FD"/>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421"/>
    <w:rsid w:val="00987455"/>
    <w:rsid w:val="009875FB"/>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3F5A"/>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53"/>
    <w:rsid w:val="0099731A"/>
    <w:rsid w:val="009979D6"/>
    <w:rsid w:val="00997CA3"/>
    <w:rsid w:val="00997DCB"/>
    <w:rsid w:val="00997F8A"/>
    <w:rsid w:val="009A0212"/>
    <w:rsid w:val="009A031F"/>
    <w:rsid w:val="009A041C"/>
    <w:rsid w:val="009A046E"/>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767"/>
    <w:rsid w:val="009A78D1"/>
    <w:rsid w:val="009A7A56"/>
    <w:rsid w:val="009B003C"/>
    <w:rsid w:val="009B0097"/>
    <w:rsid w:val="009B0D09"/>
    <w:rsid w:val="009B0D80"/>
    <w:rsid w:val="009B1758"/>
    <w:rsid w:val="009B1B81"/>
    <w:rsid w:val="009B1DFF"/>
    <w:rsid w:val="009B22E9"/>
    <w:rsid w:val="009B2353"/>
    <w:rsid w:val="009B2A4A"/>
    <w:rsid w:val="009B2B98"/>
    <w:rsid w:val="009B311C"/>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BB0"/>
    <w:rsid w:val="009B6C13"/>
    <w:rsid w:val="009B6F4A"/>
    <w:rsid w:val="009B75E3"/>
    <w:rsid w:val="009B7BB7"/>
    <w:rsid w:val="009B7FFA"/>
    <w:rsid w:val="009C00EF"/>
    <w:rsid w:val="009C0210"/>
    <w:rsid w:val="009C0896"/>
    <w:rsid w:val="009C0898"/>
    <w:rsid w:val="009C0BC1"/>
    <w:rsid w:val="009C0DBE"/>
    <w:rsid w:val="009C0E79"/>
    <w:rsid w:val="009C10DF"/>
    <w:rsid w:val="009C113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DB7"/>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4FF7"/>
    <w:rsid w:val="009D5D05"/>
    <w:rsid w:val="009D60A4"/>
    <w:rsid w:val="009D610C"/>
    <w:rsid w:val="009D62E7"/>
    <w:rsid w:val="009D688C"/>
    <w:rsid w:val="009D69E5"/>
    <w:rsid w:val="009D6B8A"/>
    <w:rsid w:val="009D6F37"/>
    <w:rsid w:val="009D7470"/>
    <w:rsid w:val="009D75A4"/>
    <w:rsid w:val="009D7D48"/>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A9F"/>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FB5"/>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97"/>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60"/>
    <w:rsid w:val="00A261E4"/>
    <w:rsid w:val="00A26200"/>
    <w:rsid w:val="00A26337"/>
    <w:rsid w:val="00A26883"/>
    <w:rsid w:val="00A268F3"/>
    <w:rsid w:val="00A26A76"/>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C48"/>
    <w:rsid w:val="00A32E3C"/>
    <w:rsid w:val="00A33BC8"/>
    <w:rsid w:val="00A33C3D"/>
    <w:rsid w:val="00A33C9E"/>
    <w:rsid w:val="00A34155"/>
    <w:rsid w:val="00A34D39"/>
    <w:rsid w:val="00A3505D"/>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07B"/>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023"/>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21"/>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EE8"/>
    <w:rsid w:val="00A65354"/>
    <w:rsid w:val="00A657CF"/>
    <w:rsid w:val="00A659FD"/>
    <w:rsid w:val="00A65FBF"/>
    <w:rsid w:val="00A66089"/>
    <w:rsid w:val="00A661C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CC0"/>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88A"/>
    <w:rsid w:val="00A9692B"/>
    <w:rsid w:val="00A96D7E"/>
    <w:rsid w:val="00A971EC"/>
    <w:rsid w:val="00A9727C"/>
    <w:rsid w:val="00A97666"/>
    <w:rsid w:val="00A97835"/>
    <w:rsid w:val="00A97B8C"/>
    <w:rsid w:val="00A97E7B"/>
    <w:rsid w:val="00AA0003"/>
    <w:rsid w:val="00AA0A0B"/>
    <w:rsid w:val="00AA0D6B"/>
    <w:rsid w:val="00AA0ECE"/>
    <w:rsid w:val="00AA11C7"/>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62E"/>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B7A30"/>
    <w:rsid w:val="00AC06BF"/>
    <w:rsid w:val="00AC0825"/>
    <w:rsid w:val="00AC102C"/>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215"/>
    <w:rsid w:val="00AC5388"/>
    <w:rsid w:val="00AC5A3B"/>
    <w:rsid w:val="00AC5DBD"/>
    <w:rsid w:val="00AC61B3"/>
    <w:rsid w:val="00AC63F4"/>
    <w:rsid w:val="00AC6521"/>
    <w:rsid w:val="00AC6652"/>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2EE0"/>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DBD"/>
    <w:rsid w:val="00AD6201"/>
    <w:rsid w:val="00AD6C7F"/>
    <w:rsid w:val="00AD70C9"/>
    <w:rsid w:val="00AD732B"/>
    <w:rsid w:val="00AD7346"/>
    <w:rsid w:val="00AD7469"/>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A50"/>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77"/>
    <w:rsid w:val="00AF28B0"/>
    <w:rsid w:val="00AF2DED"/>
    <w:rsid w:val="00AF375F"/>
    <w:rsid w:val="00AF3C80"/>
    <w:rsid w:val="00AF3C8C"/>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6FF4"/>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B35"/>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962"/>
    <w:rsid w:val="00B15A0F"/>
    <w:rsid w:val="00B16562"/>
    <w:rsid w:val="00B166E8"/>
    <w:rsid w:val="00B167A6"/>
    <w:rsid w:val="00B16B5F"/>
    <w:rsid w:val="00B1736C"/>
    <w:rsid w:val="00B17435"/>
    <w:rsid w:val="00B17744"/>
    <w:rsid w:val="00B17F12"/>
    <w:rsid w:val="00B20057"/>
    <w:rsid w:val="00B20383"/>
    <w:rsid w:val="00B2043A"/>
    <w:rsid w:val="00B20E2B"/>
    <w:rsid w:val="00B21016"/>
    <w:rsid w:val="00B21130"/>
    <w:rsid w:val="00B215F9"/>
    <w:rsid w:val="00B217E4"/>
    <w:rsid w:val="00B21A49"/>
    <w:rsid w:val="00B21C15"/>
    <w:rsid w:val="00B21CA7"/>
    <w:rsid w:val="00B21D72"/>
    <w:rsid w:val="00B21D85"/>
    <w:rsid w:val="00B21DF9"/>
    <w:rsid w:val="00B2251A"/>
    <w:rsid w:val="00B233A9"/>
    <w:rsid w:val="00B239CC"/>
    <w:rsid w:val="00B23E08"/>
    <w:rsid w:val="00B2472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76"/>
    <w:rsid w:val="00B35CB3"/>
    <w:rsid w:val="00B35DF7"/>
    <w:rsid w:val="00B35E56"/>
    <w:rsid w:val="00B35F8E"/>
    <w:rsid w:val="00B36A46"/>
    <w:rsid w:val="00B37022"/>
    <w:rsid w:val="00B37121"/>
    <w:rsid w:val="00B372EA"/>
    <w:rsid w:val="00B4003E"/>
    <w:rsid w:val="00B40292"/>
    <w:rsid w:val="00B406B2"/>
    <w:rsid w:val="00B40D73"/>
    <w:rsid w:val="00B411A3"/>
    <w:rsid w:val="00B412CB"/>
    <w:rsid w:val="00B41349"/>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53A"/>
    <w:rsid w:val="00B50D6B"/>
    <w:rsid w:val="00B51224"/>
    <w:rsid w:val="00B51258"/>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1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208"/>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4B5"/>
    <w:rsid w:val="00B71A24"/>
    <w:rsid w:val="00B71A5D"/>
    <w:rsid w:val="00B71E26"/>
    <w:rsid w:val="00B71E40"/>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12E"/>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6D"/>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B7E"/>
    <w:rsid w:val="00B91E0F"/>
    <w:rsid w:val="00B926E0"/>
    <w:rsid w:val="00B928B6"/>
    <w:rsid w:val="00B92A14"/>
    <w:rsid w:val="00B92C15"/>
    <w:rsid w:val="00B93042"/>
    <w:rsid w:val="00B93B55"/>
    <w:rsid w:val="00B93C36"/>
    <w:rsid w:val="00B93F9D"/>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EC"/>
    <w:rsid w:val="00BA48E0"/>
    <w:rsid w:val="00BA4C24"/>
    <w:rsid w:val="00BA4E10"/>
    <w:rsid w:val="00BA4E68"/>
    <w:rsid w:val="00BA5346"/>
    <w:rsid w:val="00BA54FB"/>
    <w:rsid w:val="00BA57E9"/>
    <w:rsid w:val="00BA580D"/>
    <w:rsid w:val="00BA5880"/>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AEC"/>
    <w:rsid w:val="00BB3F4C"/>
    <w:rsid w:val="00BB3F8F"/>
    <w:rsid w:val="00BB3FE9"/>
    <w:rsid w:val="00BB424D"/>
    <w:rsid w:val="00BB4376"/>
    <w:rsid w:val="00BB4A42"/>
    <w:rsid w:val="00BB4D0D"/>
    <w:rsid w:val="00BB50E4"/>
    <w:rsid w:val="00BB5321"/>
    <w:rsid w:val="00BB56F2"/>
    <w:rsid w:val="00BB56F3"/>
    <w:rsid w:val="00BB5A70"/>
    <w:rsid w:val="00BB5C6E"/>
    <w:rsid w:val="00BB5DD1"/>
    <w:rsid w:val="00BB5F35"/>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1A7"/>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4F57"/>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547"/>
    <w:rsid w:val="00BD689C"/>
    <w:rsid w:val="00BD6A22"/>
    <w:rsid w:val="00BD6D88"/>
    <w:rsid w:val="00BD72C8"/>
    <w:rsid w:val="00BD78FA"/>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1B5"/>
    <w:rsid w:val="00C023FA"/>
    <w:rsid w:val="00C02B71"/>
    <w:rsid w:val="00C02CDE"/>
    <w:rsid w:val="00C0350D"/>
    <w:rsid w:val="00C039B6"/>
    <w:rsid w:val="00C03B7B"/>
    <w:rsid w:val="00C04591"/>
    <w:rsid w:val="00C04838"/>
    <w:rsid w:val="00C04B83"/>
    <w:rsid w:val="00C057E0"/>
    <w:rsid w:val="00C05863"/>
    <w:rsid w:val="00C05C20"/>
    <w:rsid w:val="00C06066"/>
    <w:rsid w:val="00C0621D"/>
    <w:rsid w:val="00C0648A"/>
    <w:rsid w:val="00C06690"/>
    <w:rsid w:val="00C067A4"/>
    <w:rsid w:val="00C06BE9"/>
    <w:rsid w:val="00C06D45"/>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35"/>
    <w:rsid w:val="00C35D4F"/>
    <w:rsid w:val="00C3661D"/>
    <w:rsid w:val="00C36AFD"/>
    <w:rsid w:val="00C36DAD"/>
    <w:rsid w:val="00C37050"/>
    <w:rsid w:val="00C373E4"/>
    <w:rsid w:val="00C3745E"/>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AD3"/>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2F4F"/>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14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15F7"/>
    <w:rsid w:val="00C7238B"/>
    <w:rsid w:val="00C723AF"/>
    <w:rsid w:val="00C723F3"/>
    <w:rsid w:val="00C72953"/>
    <w:rsid w:val="00C72EF5"/>
    <w:rsid w:val="00C72FD0"/>
    <w:rsid w:val="00C732C5"/>
    <w:rsid w:val="00C7357D"/>
    <w:rsid w:val="00C73F77"/>
    <w:rsid w:val="00C740FD"/>
    <w:rsid w:val="00C74157"/>
    <w:rsid w:val="00C7448E"/>
    <w:rsid w:val="00C748E2"/>
    <w:rsid w:val="00C74EB4"/>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4AD5"/>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5E10"/>
    <w:rsid w:val="00CA6164"/>
    <w:rsid w:val="00CA7101"/>
    <w:rsid w:val="00CA7202"/>
    <w:rsid w:val="00CA73B2"/>
    <w:rsid w:val="00CA74E8"/>
    <w:rsid w:val="00CA7680"/>
    <w:rsid w:val="00CA7B1C"/>
    <w:rsid w:val="00CB006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3F5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725"/>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4AD5"/>
    <w:rsid w:val="00CE5086"/>
    <w:rsid w:val="00CE5112"/>
    <w:rsid w:val="00CE5360"/>
    <w:rsid w:val="00CE57B6"/>
    <w:rsid w:val="00CE5A7F"/>
    <w:rsid w:val="00CE5D9E"/>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432"/>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940"/>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7FB"/>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920"/>
    <w:rsid w:val="00D26DBE"/>
    <w:rsid w:val="00D26E45"/>
    <w:rsid w:val="00D27F01"/>
    <w:rsid w:val="00D3058F"/>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69"/>
    <w:rsid w:val="00D3527F"/>
    <w:rsid w:val="00D353FF"/>
    <w:rsid w:val="00D356EB"/>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60A"/>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97A"/>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0F8"/>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0E9"/>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6FE"/>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0E6"/>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0C81"/>
    <w:rsid w:val="00DB1539"/>
    <w:rsid w:val="00DB1901"/>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1D67"/>
    <w:rsid w:val="00DC22B7"/>
    <w:rsid w:val="00DC257F"/>
    <w:rsid w:val="00DC2898"/>
    <w:rsid w:val="00DC28A6"/>
    <w:rsid w:val="00DC28EC"/>
    <w:rsid w:val="00DC3131"/>
    <w:rsid w:val="00DC3E1F"/>
    <w:rsid w:val="00DC4287"/>
    <w:rsid w:val="00DC4548"/>
    <w:rsid w:val="00DC4B72"/>
    <w:rsid w:val="00DC4C59"/>
    <w:rsid w:val="00DC4D82"/>
    <w:rsid w:val="00DC4E9C"/>
    <w:rsid w:val="00DC522F"/>
    <w:rsid w:val="00DC588E"/>
    <w:rsid w:val="00DC5E1F"/>
    <w:rsid w:val="00DC65D8"/>
    <w:rsid w:val="00DC693B"/>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2D5"/>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DEA"/>
    <w:rsid w:val="00DF4F19"/>
    <w:rsid w:val="00DF5270"/>
    <w:rsid w:val="00DF576F"/>
    <w:rsid w:val="00DF5A42"/>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4C8"/>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2DF5"/>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2FD1"/>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2C8"/>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D72"/>
    <w:rsid w:val="00E44F6A"/>
    <w:rsid w:val="00E452D0"/>
    <w:rsid w:val="00E45421"/>
    <w:rsid w:val="00E4577C"/>
    <w:rsid w:val="00E45860"/>
    <w:rsid w:val="00E458B7"/>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1F02"/>
    <w:rsid w:val="00E52017"/>
    <w:rsid w:val="00E52937"/>
    <w:rsid w:val="00E52CCE"/>
    <w:rsid w:val="00E52DCB"/>
    <w:rsid w:val="00E52F76"/>
    <w:rsid w:val="00E5315C"/>
    <w:rsid w:val="00E538E0"/>
    <w:rsid w:val="00E53EAE"/>
    <w:rsid w:val="00E548A8"/>
    <w:rsid w:val="00E54C37"/>
    <w:rsid w:val="00E54CA0"/>
    <w:rsid w:val="00E54D33"/>
    <w:rsid w:val="00E556A3"/>
    <w:rsid w:val="00E55B04"/>
    <w:rsid w:val="00E55BCA"/>
    <w:rsid w:val="00E56116"/>
    <w:rsid w:val="00E5711F"/>
    <w:rsid w:val="00E5719D"/>
    <w:rsid w:val="00E57461"/>
    <w:rsid w:val="00E5765B"/>
    <w:rsid w:val="00E57A8F"/>
    <w:rsid w:val="00E6000E"/>
    <w:rsid w:val="00E602C9"/>
    <w:rsid w:val="00E60884"/>
    <w:rsid w:val="00E608B7"/>
    <w:rsid w:val="00E60F80"/>
    <w:rsid w:val="00E61764"/>
    <w:rsid w:val="00E61939"/>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8D7"/>
    <w:rsid w:val="00E64D5D"/>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1F"/>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4CD"/>
    <w:rsid w:val="00E85796"/>
    <w:rsid w:val="00E859CA"/>
    <w:rsid w:val="00E85DD1"/>
    <w:rsid w:val="00E86057"/>
    <w:rsid w:val="00E861F7"/>
    <w:rsid w:val="00E864B0"/>
    <w:rsid w:val="00E86647"/>
    <w:rsid w:val="00E86BA9"/>
    <w:rsid w:val="00E86DBF"/>
    <w:rsid w:val="00E86DEA"/>
    <w:rsid w:val="00E87343"/>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3D5"/>
    <w:rsid w:val="00E9346A"/>
    <w:rsid w:val="00E9353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F93"/>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3FEE"/>
    <w:rsid w:val="00EA4581"/>
    <w:rsid w:val="00EA475F"/>
    <w:rsid w:val="00EA4877"/>
    <w:rsid w:val="00EA4A7A"/>
    <w:rsid w:val="00EA4AC2"/>
    <w:rsid w:val="00EA5029"/>
    <w:rsid w:val="00EA5335"/>
    <w:rsid w:val="00EA5AC0"/>
    <w:rsid w:val="00EA5CE5"/>
    <w:rsid w:val="00EA6506"/>
    <w:rsid w:val="00EA6FBD"/>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5DA"/>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554"/>
    <w:rsid w:val="00EC4C3D"/>
    <w:rsid w:val="00EC4D77"/>
    <w:rsid w:val="00EC4D7B"/>
    <w:rsid w:val="00EC4E2E"/>
    <w:rsid w:val="00EC51DC"/>
    <w:rsid w:val="00EC555C"/>
    <w:rsid w:val="00EC5A0B"/>
    <w:rsid w:val="00EC5A47"/>
    <w:rsid w:val="00EC5F1A"/>
    <w:rsid w:val="00EC5FD9"/>
    <w:rsid w:val="00EC6337"/>
    <w:rsid w:val="00EC66D7"/>
    <w:rsid w:val="00EC6A92"/>
    <w:rsid w:val="00EC6C4D"/>
    <w:rsid w:val="00EC6D68"/>
    <w:rsid w:val="00EC7183"/>
    <w:rsid w:val="00EC71AB"/>
    <w:rsid w:val="00EC71FF"/>
    <w:rsid w:val="00EC7BC5"/>
    <w:rsid w:val="00ED022F"/>
    <w:rsid w:val="00ED0332"/>
    <w:rsid w:val="00ED0551"/>
    <w:rsid w:val="00ED0C74"/>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02"/>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B24"/>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528"/>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1D"/>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9C9"/>
    <w:rsid w:val="00F05EED"/>
    <w:rsid w:val="00F06962"/>
    <w:rsid w:val="00F06C83"/>
    <w:rsid w:val="00F06D91"/>
    <w:rsid w:val="00F06F02"/>
    <w:rsid w:val="00F07424"/>
    <w:rsid w:val="00F07524"/>
    <w:rsid w:val="00F103AB"/>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3B2"/>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EE9"/>
    <w:rsid w:val="00F24F4D"/>
    <w:rsid w:val="00F24FA0"/>
    <w:rsid w:val="00F250CE"/>
    <w:rsid w:val="00F25157"/>
    <w:rsid w:val="00F253AD"/>
    <w:rsid w:val="00F25EB4"/>
    <w:rsid w:val="00F2613C"/>
    <w:rsid w:val="00F2617C"/>
    <w:rsid w:val="00F2643A"/>
    <w:rsid w:val="00F2680A"/>
    <w:rsid w:val="00F26886"/>
    <w:rsid w:val="00F2699C"/>
    <w:rsid w:val="00F269B6"/>
    <w:rsid w:val="00F26AF5"/>
    <w:rsid w:val="00F26B24"/>
    <w:rsid w:val="00F26E84"/>
    <w:rsid w:val="00F27C5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1F"/>
    <w:rsid w:val="00F32747"/>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07FF"/>
    <w:rsid w:val="00F4125D"/>
    <w:rsid w:val="00F42599"/>
    <w:rsid w:val="00F42807"/>
    <w:rsid w:val="00F42910"/>
    <w:rsid w:val="00F42C2B"/>
    <w:rsid w:val="00F43068"/>
    <w:rsid w:val="00F439C5"/>
    <w:rsid w:val="00F44833"/>
    <w:rsid w:val="00F44D3A"/>
    <w:rsid w:val="00F452E7"/>
    <w:rsid w:val="00F465C1"/>
    <w:rsid w:val="00F4678D"/>
    <w:rsid w:val="00F467B0"/>
    <w:rsid w:val="00F468C9"/>
    <w:rsid w:val="00F46E40"/>
    <w:rsid w:val="00F46F8B"/>
    <w:rsid w:val="00F47132"/>
    <w:rsid w:val="00F472DF"/>
    <w:rsid w:val="00F4759D"/>
    <w:rsid w:val="00F47728"/>
    <w:rsid w:val="00F47AB9"/>
    <w:rsid w:val="00F47AFE"/>
    <w:rsid w:val="00F47CBA"/>
    <w:rsid w:val="00F47E8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CB"/>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79D"/>
    <w:rsid w:val="00F80C1E"/>
    <w:rsid w:val="00F80D8F"/>
    <w:rsid w:val="00F81311"/>
    <w:rsid w:val="00F81507"/>
    <w:rsid w:val="00F81625"/>
    <w:rsid w:val="00F81C47"/>
    <w:rsid w:val="00F81E0E"/>
    <w:rsid w:val="00F81E87"/>
    <w:rsid w:val="00F81F25"/>
    <w:rsid w:val="00F81F57"/>
    <w:rsid w:val="00F81F94"/>
    <w:rsid w:val="00F82305"/>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681"/>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346"/>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7A4"/>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CBA"/>
    <w:rsid w:val="00FB22E5"/>
    <w:rsid w:val="00FB2803"/>
    <w:rsid w:val="00FB2864"/>
    <w:rsid w:val="00FB2F94"/>
    <w:rsid w:val="00FB35AB"/>
    <w:rsid w:val="00FB38EA"/>
    <w:rsid w:val="00FB3CD6"/>
    <w:rsid w:val="00FB3D03"/>
    <w:rsid w:val="00FB4065"/>
    <w:rsid w:val="00FB43D5"/>
    <w:rsid w:val="00FB44CB"/>
    <w:rsid w:val="00FB4760"/>
    <w:rsid w:val="00FB47B5"/>
    <w:rsid w:val="00FB52FD"/>
    <w:rsid w:val="00FB57A7"/>
    <w:rsid w:val="00FB5A6F"/>
    <w:rsid w:val="00FB5D73"/>
    <w:rsid w:val="00FB62B2"/>
    <w:rsid w:val="00FB6401"/>
    <w:rsid w:val="00FB67DD"/>
    <w:rsid w:val="00FB68CE"/>
    <w:rsid w:val="00FB6B9D"/>
    <w:rsid w:val="00FB6C5F"/>
    <w:rsid w:val="00FB6C7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E2"/>
    <w:rsid w:val="00FC22FE"/>
    <w:rsid w:val="00FC23FA"/>
    <w:rsid w:val="00FC25D7"/>
    <w:rsid w:val="00FC2742"/>
    <w:rsid w:val="00FC2EED"/>
    <w:rsid w:val="00FC330F"/>
    <w:rsid w:val="00FC37F0"/>
    <w:rsid w:val="00FC3934"/>
    <w:rsid w:val="00FC3BBC"/>
    <w:rsid w:val="00FC3EEB"/>
    <w:rsid w:val="00FC4278"/>
    <w:rsid w:val="00FC4423"/>
    <w:rsid w:val="00FC47D1"/>
    <w:rsid w:val="00FC4850"/>
    <w:rsid w:val="00FC4993"/>
    <w:rsid w:val="00FC4CA4"/>
    <w:rsid w:val="00FC4DD6"/>
    <w:rsid w:val="00FC545C"/>
    <w:rsid w:val="00FC553E"/>
    <w:rsid w:val="00FC5AB2"/>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8D"/>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6FBA"/>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3D8"/>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B22"/>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60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tion Equation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57233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143730">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419785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510942">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ED37765-6690-4B8A-A50D-64CAE01C2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FFF1FA-2C43-47FD-8EB0-D64730051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2001</Words>
  <Characters>11411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13386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5</cp:revision>
  <cp:lastPrinted>2011-11-09T07:49:00Z</cp:lastPrinted>
  <dcterms:created xsi:type="dcterms:W3CDTF">2021-11-04T23:17:00Z</dcterms:created>
  <dcterms:modified xsi:type="dcterms:W3CDTF">2021-11-05T16:57:00Z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